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192DB" w14:textId="77777777" w:rsidR="004B2B88" w:rsidRDefault="00621A63">
      <w:pPr>
        <w:pStyle w:val="Heading1"/>
      </w:pPr>
      <w:bookmarkStart w:id="0" w:name="_e35tixz65frm"/>
      <w:bookmarkEnd w:id="0"/>
      <w:r>
        <w:t>Respond to Acas consultation as an employer or organisation</w:t>
      </w:r>
    </w:p>
    <w:p w14:paraId="4FABB6E5" w14:textId="77777777" w:rsidR="004B2B88" w:rsidRDefault="00621A63">
      <w:pPr>
        <w:pStyle w:val="Subtitle"/>
        <w:rPr>
          <w:rFonts w:ascii="Verdana" w:eastAsia="Verdana" w:hAnsi="Verdana" w:cs="Verdana"/>
          <w:color w:val="000000"/>
        </w:rPr>
      </w:pPr>
      <w:bookmarkStart w:id="1" w:name="_v8t4wzo9ytp"/>
      <w:bookmarkEnd w:id="1"/>
      <w:r>
        <w:rPr>
          <w:rFonts w:ascii="Verdana" w:eastAsia="Verdana" w:hAnsi="Verdana" w:cs="Verdana"/>
          <w:color w:val="000000"/>
        </w:rPr>
        <w:t>Acas consultation on the updated draft Code of Practice on time off for trade union duties and activities</w:t>
      </w:r>
    </w:p>
    <w:p w14:paraId="09945925" w14:textId="77777777" w:rsidR="004B2B88" w:rsidRDefault="004B2B88"/>
    <w:p w14:paraId="1B2C8DC7" w14:textId="77777777" w:rsidR="004B2B88" w:rsidRDefault="00621A63">
      <w:r>
        <w:t xml:space="preserve">Use this document to respond to the Acas consultation, if you're not able to use the </w:t>
      </w:r>
      <w:hyperlink r:id="rId8" w:history="1">
        <w:r>
          <w:rPr>
            <w:color w:val="1155CC"/>
            <w:u w:val="single"/>
          </w:rPr>
          <w:t>online response form</w:t>
        </w:r>
      </w:hyperlink>
      <w:r>
        <w:t>.</w:t>
      </w:r>
    </w:p>
    <w:p w14:paraId="1747BAA7" w14:textId="77777777" w:rsidR="004B2B88" w:rsidRDefault="00621A63">
      <w:r>
        <w:t xml:space="preserve">Please email your response to </w:t>
      </w:r>
      <w:hyperlink r:id="rId9" w:history="1">
        <w:r>
          <w:rPr>
            <w:color w:val="1155CC"/>
            <w:u w:val="single"/>
          </w:rPr>
          <w:t>consultations@acas.org.uk</w:t>
        </w:r>
      </w:hyperlink>
    </w:p>
    <w:p w14:paraId="35D0445A" w14:textId="77777777" w:rsidR="004B2B88" w:rsidRDefault="00621A63">
      <w:r>
        <w:t>If you need to submit your response in another wa</w:t>
      </w:r>
      <w:r>
        <w:t>y, email us to request an alternative format.</w:t>
      </w:r>
    </w:p>
    <w:p w14:paraId="11DB0691" w14:textId="77777777" w:rsidR="004B2B88" w:rsidRDefault="00621A63">
      <w:r>
        <w:t>To make your submission as helpful as possible, please:</w:t>
      </w:r>
    </w:p>
    <w:p w14:paraId="1A97A24C" w14:textId="77777777" w:rsidR="004B2B88" w:rsidRDefault="00621A63">
      <w:pPr>
        <w:numPr>
          <w:ilvl w:val="0"/>
          <w:numId w:val="1"/>
        </w:numPr>
        <w:spacing w:after="0"/>
      </w:pPr>
      <w:r>
        <w:t xml:space="preserve">read the </w:t>
      </w:r>
      <w:hyperlink r:id="rId10" w:history="1">
        <w:r>
          <w:rPr>
            <w:color w:val="1155CC"/>
            <w:u w:val="single"/>
          </w:rPr>
          <w:t>consultation page</w:t>
        </w:r>
      </w:hyperlink>
      <w:r>
        <w:t xml:space="preserve"> before responding</w:t>
      </w:r>
    </w:p>
    <w:p w14:paraId="463A0B3C" w14:textId="77777777" w:rsidR="004B2B88" w:rsidRDefault="00621A63">
      <w:pPr>
        <w:numPr>
          <w:ilvl w:val="0"/>
          <w:numId w:val="1"/>
        </w:numPr>
        <w:spacing w:before="0" w:after="0"/>
      </w:pPr>
      <w:r>
        <w:t xml:space="preserve">read the </w:t>
      </w:r>
      <w:hyperlink r:id="rId11" w:history="1">
        <w:r>
          <w:rPr>
            <w:color w:val="1155CC"/>
            <w:u w:val="single"/>
          </w:rPr>
          <w:t>draft Code of Practice</w:t>
        </w:r>
      </w:hyperlink>
      <w:r>
        <w:t xml:space="preserve"> before responding</w:t>
      </w:r>
    </w:p>
    <w:p w14:paraId="3BCDDD88" w14:textId="77777777" w:rsidR="004B2B88" w:rsidRDefault="00621A63">
      <w:pPr>
        <w:numPr>
          <w:ilvl w:val="0"/>
          <w:numId w:val="1"/>
        </w:numPr>
        <w:spacing w:before="0" w:after="0"/>
      </w:pPr>
      <w:r>
        <w:t>keep your response concise and to the point – we suggest a limit of 500 words for each</w:t>
      </w:r>
      <w:r>
        <w:t xml:space="preserve"> open text question</w:t>
      </w:r>
    </w:p>
    <w:p w14:paraId="63B870FD" w14:textId="77777777" w:rsidR="004B2B88" w:rsidRDefault="00621A63">
      <w:pPr>
        <w:numPr>
          <w:ilvl w:val="0"/>
          <w:numId w:val="1"/>
        </w:numPr>
        <w:spacing w:before="0"/>
      </w:pPr>
      <w:r>
        <w:t>keep your response as plain text only</w:t>
      </w:r>
    </w:p>
    <w:p w14:paraId="35D377CC" w14:textId="77777777" w:rsidR="004B2B88" w:rsidRDefault="00621A63">
      <w:r>
        <w:t>Consultation closes: 5pm, Tuesday 17 March 2026</w:t>
      </w:r>
    </w:p>
    <w:p w14:paraId="0CA79771" w14:textId="77777777" w:rsidR="004B2B88" w:rsidRDefault="004B2B88">
      <w:pPr>
        <w:pStyle w:val="Heading2"/>
      </w:pPr>
    </w:p>
    <w:p w14:paraId="146984B9" w14:textId="77777777" w:rsidR="004B2B88" w:rsidRDefault="004B2B88">
      <w:pPr>
        <w:pageBreakBefore/>
      </w:pPr>
    </w:p>
    <w:p w14:paraId="2F15694D" w14:textId="77777777" w:rsidR="004B2B88" w:rsidRDefault="00621A63">
      <w:pPr>
        <w:pStyle w:val="Heading2"/>
      </w:pPr>
      <w:bookmarkStart w:id="2" w:name="_frwb0fsidq1f"/>
      <w:bookmarkEnd w:id="2"/>
      <w:r>
        <w:t>Your details</w:t>
      </w:r>
    </w:p>
    <w:p w14:paraId="63757C5F" w14:textId="77777777" w:rsidR="004B2B88" w:rsidRDefault="00621A63">
      <w:r>
        <w:rPr>
          <w:b/>
          <w:bCs/>
        </w:rPr>
        <w:t>Your name (required)</w:t>
      </w:r>
    </w:p>
    <w:tbl>
      <w:tblPr>
        <w:tblW w:w="9015" w:type="dxa"/>
        <w:tblCellMar>
          <w:left w:w="10" w:type="dxa"/>
          <w:right w:w="10" w:type="dxa"/>
        </w:tblCellMar>
        <w:tblLook w:val="04A0" w:firstRow="1" w:lastRow="0" w:firstColumn="1" w:lastColumn="0" w:noHBand="0" w:noVBand="1"/>
      </w:tblPr>
      <w:tblGrid>
        <w:gridCol w:w="9015"/>
      </w:tblGrid>
      <w:tr w:rsidR="004B2B88" w14:paraId="54A5DE56" w14:textId="77777777">
        <w:trPr>
          <w:trHeight w:val="737"/>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13AB4" w14:textId="77777777" w:rsidR="004B2B88" w:rsidRDefault="004B2B88">
            <w:pPr>
              <w:spacing w:after="0" w:line="240" w:lineRule="auto"/>
              <w:rPr>
                <w:b/>
                <w:bCs/>
              </w:rPr>
            </w:pPr>
          </w:p>
        </w:tc>
      </w:tr>
    </w:tbl>
    <w:p w14:paraId="7A4F6600" w14:textId="77777777" w:rsidR="004B2B88" w:rsidRDefault="00621A63">
      <w:pPr>
        <w:rPr>
          <w:b/>
          <w:bCs/>
        </w:rPr>
      </w:pPr>
      <w:r>
        <w:rPr>
          <w:b/>
          <w:bCs/>
        </w:rPr>
        <w:t>Your email address (required)</w:t>
      </w:r>
    </w:p>
    <w:tbl>
      <w:tblPr>
        <w:tblW w:w="9015" w:type="dxa"/>
        <w:tblCellMar>
          <w:left w:w="10" w:type="dxa"/>
          <w:right w:w="10" w:type="dxa"/>
        </w:tblCellMar>
        <w:tblLook w:val="04A0" w:firstRow="1" w:lastRow="0" w:firstColumn="1" w:lastColumn="0" w:noHBand="0" w:noVBand="1"/>
      </w:tblPr>
      <w:tblGrid>
        <w:gridCol w:w="9015"/>
      </w:tblGrid>
      <w:tr w:rsidR="004B2B88" w14:paraId="1CB4FB2D" w14:textId="77777777">
        <w:trPr>
          <w:trHeight w:val="737"/>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90942" w14:textId="77777777" w:rsidR="004B2B88" w:rsidRDefault="004B2B88">
            <w:pPr>
              <w:spacing w:after="0" w:line="240" w:lineRule="auto"/>
              <w:rPr>
                <w:b/>
                <w:bCs/>
              </w:rPr>
            </w:pPr>
          </w:p>
        </w:tc>
      </w:tr>
    </w:tbl>
    <w:p w14:paraId="6614AAC9" w14:textId="77777777" w:rsidR="004B2B88" w:rsidRDefault="00621A63">
      <w:pPr>
        <w:rPr>
          <w:b/>
          <w:bCs/>
        </w:rPr>
      </w:pPr>
      <w:r>
        <w:rPr>
          <w:b/>
          <w:bCs/>
        </w:rPr>
        <w:t>Which of the following best describes your organisation? (required)</w:t>
      </w:r>
    </w:p>
    <w:p w14:paraId="41E8DF20" w14:textId="77777777" w:rsidR="004B2B88" w:rsidRDefault="00621A63">
      <w:pPr>
        <w:numPr>
          <w:ilvl w:val="0"/>
          <w:numId w:val="2"/>
        </w:numPr>
        <w:spacing w:after="0"/>
      </w:pPr>
      <w:r>
        <w:t xml:space="preserve">Employer </w:t>
      </w:r>
    </w:p>
    <w:p w14:paraId="1DC49D01" w14:textId="77777777" w:rsidR="004B2B88" w:rsidRDefault="00621A63">
      <w:pPr>
        <w:numPr>
          <w:ilvl w:val="0"/>
          <w:numId w:val="2"/>
        </w:numPr>
        <w:spacing w:before="0" w:after="0"/>
      </w:pPr>
      <w:r>
        <w:t xml:space="preserve">Employer representative organisation, employer organisation or industry association </w:t>
      </w:r>
    </w:p>
    <w:p w14:paraId="1AC7E2B1" w14:textId="77777777" w:rsidR="004B2B88" w:rsidRDefault="00621A63">
      <w:pPr>
        <w:numPr>
          <w:ilvl w:val="0"/>
          <w:numId w:val="2"/>
        </w:numPr>
        <w:spacing w:before="0" w:after="0"/>
      </w:pPr>
      <w:r>
        <w:t xml:space="preserve">Trade union or other employee representative organisation </w:t>
      </w:r>
    </w:p>
    <w:p w14:paraId="0150640A" w14:textId="77777777" w:rsidR="004B2B88" w:rsidRDefault="00621A63">
      <w:pPr>
        <w:numPr>
          <w:ilvl w:val="0"/>
          <w:numId w:val="2"/>
        </w:numPr>
        <w:spacing w:before="0"/>
      </w:pPr>
      <w:r>
        <w:t xml:space="preserve">Other type of organisation: Please describe: </w:t>
      </w:r>
      <w:r>
        <w:rPr>
          <w:color w:val="000000"/>
        </w:rPr>
        <w:t>____________</w:t>
      </w:r>
    </w:p>
    <w:p w14:paraId="041A8EE8" w14:textId="77777777" w:rsidR="004B2B88" w:rsidRDefault="00621A63">
      <w:pPr>
        <w:pStyle w:val="Heading2"/>
      </w:pPr>
      <w:bookmarkStart w:id="3" w:name="_xydpk94ahczn"/>
      <w:bookmarkEnd w:id="3"/>
      <w:r>
        <w:t>About your organisation</w:t>
      </w:r>
    </w:p>
    <w:p w14:paraId="09E90166" w14:textId="77777777" w:rsidR="004B2B88" w:rsidRDefault="00621A63">
      <w:pPr>
        <w:rPr>
          <w:b/>
          <w:bCs/>
        </w:rPr>
      </w:pPr>
      <w:r>
        <w:rPr>
          <w:b/>
          <w:bCs/>
        </w:rPr>
        <w:t xml:space="preserve">Your </w:t>
      </w:r>
      <w:r>
        <w:rPr>
          <w:b/>
          <w:bCs/>
        </w:rPr>
        <w:t>organisation's name (required)</w:t>
      </w:r>
    </w:p>
    <w:tbl>
      <w:tblPr>
        <w:tblW w:w="9015" w:type="dxa"/>
        <w:tblCellMar>
          <w:left w:w="10" w:type="dxa"/>
          <w:right w:w="10" w:type="dxa"/>
        </w:tblCellMar>
        <w:tblLook w:val="04A0" w:firstRow="1" w:lastRow="0" w:firstColumn="1" w:lastColumn="0" w:noHBand="0" w:noVBand="1"/>
      </w:tblPr>
      <w:tblGrid>
        <w:gridCol w:w="9015"/>
      </w:tblGrid>
      <w:tr w:rsidR="004B2B88" w14:paraId="290D9063" w14:textId="77777777">
        <w:trPr>
          <w:trHeight w:val="737"/>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DFD" w14:textId="77777777" w:rsidR="004B2B88" w:rsidRDefault="004B2B88">
            <w:pPr>
              <w:spacing w:after="0" w:line="240" w:lineRule="auto"/>
              <w:rPr>
                <w:b/>
                <w:bCs/>
              </w:rPr>
            </w:pPr>
          </w:p>
        </w:tc>
      </w:tr>
    </w:tbl>
    <w:p w14:paraId="0868DD31" w14:textId="77777777" w:rsidR="004B2B88" w:rsidRDefault="00621A63">
      <w:pPr>
        <w:rPr>
          <w:b/>
          <w:bCs/>
        </w:rPr>
      </w:pPr>
      <w:r>
        <w:rPr>
          <w:b/>
          <w:bCs/>
        </w:rPr>
        <w:t>How many people does your organisation employ? (optional)</w:t>
      </w:r>
    </w:p>
    <w:p w14:paraId="39FA4F42" w14:textId="77777777" w:rsidR="004B2B88" w:rsidRDefault="00621A63">
      <w:r>
        <w:t>This is the number of people working in the whole organisation.</w:t>
      </w:r>
    </w:p>
    <w:p w14:paraId="52BF6221" w14:textId="77777777" w:rsidR="004B2B88" w:rsidRDefault="00621A63">
      <w:pPr>
        <w:numPr>
          <w:ilvl w:val="0"/>
          <w:numId w:val="3"/>
        </w:numPr>
        <w:spacing w:after="0"/>
      </w:pPr>
      <w:r>
        <w:t>0 to 9</w:t>
      </w:r>
    </w:p>
    <w:p w14:paraId="13246CF3" w14:textId="77777777" w:rsidR="004B2B88" w:rsidRDefault="00621A63">
      <w:pPr>
        <w:numPr>
          <w:ilvl w:val="0"/>
          <w:numId w:val="3"/>
        </w:numPr>
        <w:spacing w:before="0" w:after="0"/>
      </w:pPr>
      <w:r>
        <w:t>10 to 49</w:t>
      </w:r>
    </w:p>
    <w:p w14:paraId="77745B66" w14:textId="77777777" w:rsidR="004B2B88" w:rsidRDefault="00621A63">
      <w:pPr>
        <w:numPr>
          <w:ilvl w:val="0"/>
          <w:numId w:val="3"/>
        </w:numPr>
        <w:spacing w:before="0" w:after="0"/>
      </w:pPr>
      <w:r>
        <w:t>50 to 249</w:t>
      </w:r>
    </w:p>
    <w:p w14:paraId="45E34FF1" w14:textId="77777777" w:rsidR="004B2B88" w:rsidRDefault="00621A63">
      <w:pPr>
        <w:numPr>
          <w:ilvl w:val="0"/>
          <w:numId w:val="3"/>
        </w:numPr>
        <w:spacing w:before="0" w:after="0"/>
      </w:pPr>
      <w:r>
        <w:t>More than 250</w:t>
      </w:r>
    </w:p>
    <w:p w14:paraId="3C7E9C01" w14:textId="77777777" w:rsidR="004B2B88" w:rsidRDefault="00621A63">
      <w:pPr>
        <w:numPr>
          <w:ilvl w:val="0"/>
          <w:numId w:val="3"/>
        </w:numPr>
        <w:spacing w:before="0"/>
      </w:pPr>
      <w:r>
        <w:t>Don't know</w:t>
      </w:r>
    </w:p>
    <w:p w14:paraId="6033A8D4" w14:textId="77777777" w:rsidR="004B2B88" w:rsidRDefault="00621A63">
      <w:pPr>
        <w:rPr>
          <w:b/>
          <w:bCs/>
        </w:rPr>
      </w:pPr>
      <w:r>
        <w:rPr>
          <w:b/>
          <w:bCs/>
        </w:rPr>
        <w:lastRenderedPageBreak/>
        <w:t xml:space="preserve">How would you classify your organisation? </w:t>
      </w:r>
      <w:r>
        <w:rPr>
          <w:b/>
          <w:bCs/>
        </w:rPr>
        <w:t>(optional)</w:t>
      </w:r>
    </w:p>
    <w:p w14:paraId="38E0BE62" w14:textId="77777777" w:rsidR="004B2B88" w:rsidRDefault="00621A63">
      <w:pPr>
        <w:numPr>
          <w:ilvl w:val="0"/>
          <w:numId w:val="4"/>
        </w:numPr>
        <w:spacing w:after="0"/>
      </w:pPr>
      <w:r>
        <w:t>Private sector business, mainly seeking to make a profit</w:t>
      </w:r>
    </w:p>
    <w:p w14:paraId="20F488A0" w14:textId="77777777" w:rsidR="004B2B88" w:rsidRDefault="00621A63">
      <w:pPr>
        <w:numPr>
          <w:ilvl w:val="0"/>
          <w:numId w:val="4"/>
        </w:numPr>
        <w:spacing w:before="0" w:after="0"/>
      </w:pPr>
      <w:r>
        <w:t>Public sector organisation</w:t>
      </w:r>
    </w:p>
    <w:p w14:paraId="602A1F7D" w14:textId="77777777" w:rsidR="004B2B88" w:rsidRDefault="00621A63">
      <w:pPr>
        <w:numPr>
          <w:ilvl w:val="0"/>
          <w:numId w:val="4"/>
        </w:numPr>
        <w:spacing w:before="0" w:after="0"/>
      </w:pPr>
      <w:r>
        <w:t>Voluntary or third sector organisation, for example charity, social enterprise or trade union</w:t>
      </w:r>
    </w:p>
    <w:p w14:paraId="4B06F58C" w14:textId="77777777" w:rsidR="004B2B88" w:rsidRDefault="00621A63">
      <w:pPr>
        <w:numPr>
          <w:ilvl w:val="0"/>
          <w:numId w:val="4"/>
        </w:numPr>
        <w:spacing w:before="0"/>
      </w:pPr>
      <w:r>
        <w:t xml:space="preserve">Another type of organisation: Please describe: </w:t>
      </w:r>
      <w:r>
        <w:rPr>
          <w:color w:val="000000"/>
        </w:rPr>
        <w:t>____________</w:t>
      </w:r>
    </w:p>
    <w:p w14:paraId="6506CE5A" w14:textId="77777777" w:rsidR="004B2B88" w:rsidRDefault="00621A63">
      <w:pPr>
        <w:rPr>
          <w:b/>
          <w:bCs/>
        </w:rPr>
      </w:pPr>
      <w:r>
        <w:rPr>
          <w:b/>
          <w:bCs/>
        </w:rPr>
        <w:t>If y</w:t>
      </w:r>
      <w:r>
        <w:rPr>
          <w:b/>
          <w:bCs/>
        </w:rPr>
        <w:t>ou are an employer representative organisation, employer organisation or industry association, approximately how many organisations do you represent? (optional)</w:t>
      </w:r>
    </w:p>
    <w:tbl>
      <w:tblPr>
        <w:tblW w:w="9015" w:type="dxa"/>
        <w:tblCellMar>
          <w:left w:w="10" w:type="dxa"/>
          <w:right w:w="10" w:type="dxa"/>
        </w:tblCellMar>
        <w:tblLook w:val="04A0" w:firstRow="1" w:lastRow="0" w:firstColumn="1" w:lastColumn="0" w:noHBand="0" w:noVBand="1"/>
      </w:tblPr>
      <w:tblGrid>
        <w:gridCol w:w="9015"/>
      </w:tblGrid>
      <w:tr w:rsidR="004B2B88" w14:paraId="6C8FF421" w14:textId="77777777">
        <w:trPr>
          <w:trHeight w:val="737"/>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525F" w14:textId="77777777" w:rsidR="004B2B88" w:rsidRDefault="004B2B88">
            <w:pPr>
              <w:spacing w:after="0" w:line="240" w:lineRule="auto"/>
            </w:pPr>
          </w:p>
        </w:tc>
      </w:tr>
    </w:tbl>
    <w:p w14:paraId="69958C39" w14:textId="77777777" w:rsidR="004B2B88" w:rsidRDefault="00621A63">
      <w:pPr>
        <w:rPr>
          <w:b/>
          <w:bCs/>
        </w:rPr>
      </w:pPr>
      <w:r>
        <w:rPr>
          <w:b/>
          <w:bCs/>
        </w:rPr>
        <w:t>If you are a trade union or other employee representative organisation, approximately how man</w:t>
      </w:r>
      <w:r>
        <w:rPr>
          <w:b/>
          <w:bCs/>
        </w:rPr>
        <w:t>y individual members do you represent? (optional)</w:t>
      </w:r>
    </w:p>
    <w:tbl>
      <w:tblPr>
        <w:tblW w:w="9015" w:type="dxa"/>
        <w:tblCellMar>
          <w:left w:w="10" w:type="dxa"/>
          <w:right w:w="10" w:type="dxa"/>
        </w:tblCellMar>
        <w:tblLook w:val="04A0" w:firstRow="1" w:lastRow="0" w:firstColumn="1" w:lastColumn="0" w:noHBand="0" w:noVBand="1"/>
      </w:tblPr>
      <w:tblGrid>
        <w:gridCol w:w="9015"/>
      </w:tblGrid>
      <w:tr w:rsidR="004B2B88" w14:paraId="6523A2E3" w14:textId="77777777">
        <w:trPr>
          <w:trHeight w:val="737"/>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158AD" w14:textId="77777777" w:rsidR="004B2B88" w:rsidRDefault="004B2B88">
            <w:pPr>
              <w:spacing w:after="0" w:line="240" w:lineRule="auto"/>
            </w:pPr>
          </w:p>
        </w:tc>
      </w:tr>
    </w:tbl>
    <w:p w14:paraId="232CC797" w14:textId="77777777" w:rsidR="004B2B88" w:rsidRDefault="00621A63">
      <w:pPr>
        <w:pStyle w:val="Heading2"/>
      </w:pPr>
      <w:bookmarkStart w:id="4" w:name="_pcnkx4vzl4fk"/>
      <w:bookmarkEnd w:id="4"/>
      <w:r>
        <w:t>Section A: Guidance on equality representatives' right to time off</w:t>
      </w:r>
    </w:p>
    <w:p w14:paraId="07F1BFA1" w14:textId="77777777" w:rsidR="004B2B88" w:rsidRDefault="00621A63">
      <w:pPr>
        <w:pStyle w:val="Heading3"/>
      </w:pPr>
      <w:bookmarkStart w:id="5" w:name="_1fs3s2kxxnv"/>
      <w:bookmarkEnd w:id="5"/>
      <w:r>
        <w:t>Detail and clarity of the Code</w:t>
      </w:r>
    </w:p>
    <w:p w14:paraId="605139CF" w14:textId="77777777" w:rsidR="004B2B88" w:rsidRDefault="00621A63">
      <w:r>
        <w:t>The Employment Rights Act 2025</w:t>
      </w:r>
      <w:r>
        <w:t xml:space="preserve"> introduces a legal right for union equality representatives to take paid time off to carry out specified duties. Qualification for this right mirrors the existing right for trade union learning representatives to take time off.</w:t>
      </w:r>
    </w:p>
    <w:p w14:paraId="2723AE7D" w14:textId="77777777" w:rsidR="004B2B88" w:rsidRDefault="00621A63">
      <w:r>
        <w:t xml:space="preserve">Acas has added guidance to </w:t>
      </w:r>
      <w:r>
        <w:t>the draft Code setting out and explaining the new legal requirements for union equality representatives to take time off.</w:t>
      </w:r>
    </w:p>
    <w:p w14:paraId="1EE9C7A8" w14:textId="77777777" w:rsidR="004B2B88" w:rsidRDefault="00621A63">
      <w:r>
        <w:t>These additions include:</w:t>
      </w:r>
    </w:p>
    <w:p w14:paraId="099D2E22" w14:textId="77777777" w:rsidR="004B2B88" w:rsidRDefault="00621A63">
      <w:pPr>
        <w:numPr>
          <w:ilvl w:val="0"/>
          <w:numId w:val="5"/>
        </w:numPr>
        <w:spacing w:after="0"/>
      </w:pPr>
      <w:r>
        <w:t>the duties for which union equality representatives must be allowed reasonable time off (paragraph 23)</w:t>
      </w:r>
    </w:p>
    <w:p w14:paraId="6DFF875F" w14:textId="77777777" w:rsidR="004B2B88" w:rsidRDefault="00621A63">
      <w:pPr>
        <w:numPr>
          <w:ilvl w:val="0"/>
          <w:numId w:val="5"/>
        </w:numPr>
        <w:spacing w:before="0" w:after="0"/>
      </w:pPr>
      <w:r>
        <w:lastRenderedPageBreak/>
        <w:t>a defi</w:t>
      </w:r>
      <w:r>
        <w:t>nition of equality in the workplace for the purposes of union equality representatives' right to time off (paragraph 24)</w:t>
      </w:r>
    </w:p>
    <w:p w14:paraId="7EF92A1D" w14:textId="77777777" w:rsidR="004B2B88" w:rsidRDefault="00621A63">
      <w:pPr>
        <w:numPr>
          <w:ilvl w:val="0"/>
          <w:numId w:val="5"/>
        </w:numPr>
        <w:spacing w:before="0" w:after="0"/>
      </w:pPr>
      <w:r>
        <w:t>guidance on training for equality representatives (paragraphs 41 to 46)</w:t>
      </w:r>
    </w:p>
    <w:p w14:paraId="37D19C3D" w14:textId="77777777" w:rsidR="004B2B88" w:rsidRDefault="00621A63">
      <w:pPr>
        <w:numPr>
          <w:ilvl w:val="0"/>
          <w:numId w:val="5"/>
        </w:numPr>
        <w:spacing w:before="0"/>
      </w:pPr>
      <w:r>
        <w:t>wording on relevant previous experience for equality representa</w:t>
      </w:r>
      <w:r>
        <w:t>tives (paragraphs 47 to 50)</w:t>
      </w:r>
    </w:p>
    <w:p w14:paraId="7F6393D1" w14:textId="77777777" w:rsidR="004B2B88" w:rsidRDefault="00621A63">
      <w:r>
        <w:t xml:space="preserve">Acas has focused on setting out these general principles in the draft Code, allowing for a clear understanding of the standards it sets out. </w:t>
      </w:r>
      <w:proofErr w:type="spellStart"/>
      <w:r>
        <w:t>Acas's</w:t>
      </w:r>
      <w:proofErr w:type="spellEnd"/>
      <w:r>
        <w:t xml:space="preserve"> accompanying non-statutory guidance will expand on these principles and give fur</w:t>
      </w:r>
      <w:r>
        <w:t>ther detail.</w:t>
      </w:r>
    </w:p>
    <w:p w14:paraId="2A2AB9F4" w14:textId="77777777" w:rsidR="004B2B88" w:rsidRDefault="00621A63">
      <w:pPr>
        <w:pStyle w:val="Heading3"/>
      </w:pPr>
      <w:bookmarkStart w:id="6" w:name="_v2hpqkkqe96h"/>
      <w:bookmarkEnd w:id="6"/>
      <w:r>
        <w:t>Quest</w:t>
      </w:r>
      <w:bookmarkStart w:id="7" w:name="_GoBack"/>
      <w:bookmarkEnd w:id="7"/>
      <w:r>
        <w:t>ion 1</w:t>
      </w:r>
    </w:p>
    <w:p w14:paraId="442C973D" w14:textId="77777777" w:rsidR="004B2B88" w:rsidRDefault="00621A63">
      <w:pPr>
        <w:rPr>
          <w:b/>
          <w:bCs/>
        </w:rPr>
      </w:pPr>
      <w:r>
        <w:rPr>
          <w:b/>
          <w:bCs/>
        </w:rPr>
        <w:t>Does the draft Code provide sufficient detail on the legal requirement for union equality representatives' right to reasonable time off?</w:t>
      </w:r>
    </w:p>
    <w:p w14:paraId="7DB2D194" w14:textId="77777777" w:rsidR="004B2B88" w:rsidRDefault="00621A63">
      <w:pPr>
        <w:numPr>
          <w:ilvl w:val="0"/>
          <w:numId w:val="6"/>
        </w:numPr>
        <w:spacing w:after="0"/>
      </w:pPr>
      <w:r>
        <w:t>Yes</w:t>
      </w:r>
    </w:p>
    <w:p w14:paraId="501F1379" w14:textId="77777777" w:rsidR="004B2B88" w:rsidRDefault="00621A63">
      <w:pPr>
        <w:numPr>
          <w:ilvl w:val="0"/>
          <w:numId w:val="6"/>
        </w:numPr>
        <w:spacing w:before="0" w:after="0"/>
      </w:pPr>
      <w:r>
        <w:t>No</w:t>
      </w:r>
    </w:p>
    <w:p w14:paraId="533AFAC6" w14:textId="77777777" w:rsidR="004B2B88" w:rsidRDefault="00621A63">
      <w:pPr>
        <w:numPr>
          <w:ilvl w:val="0"/>
          <w:numId w:val="6"/>
        </w:numPr>
        <w:spacing w:before="0"/>
      </w:pPr>
      <w:r>
        <w:t>Don't know</w:t>
      </w:r>
    </w:p>
    <w:p w14:paraId="18B35466" w14:textId="77777777" w:rsidR="004B2B88" w:rsidRDefault="00621A63">
      <w:r>
        <w:t>Please explain the reason for your answer. If you answered no, please also id</w:t>
      </w:r>
      <w:r>
        <w:t>entify where further detail could be added to the guidance along with suggested detail.</w:t>
      </w:r>
    </w:p>
    <w:tbl>
      <w:tblPr>
        <w:tblW w:w="9015" w:type="dxa"/>
        <w:tblCellMar>
          <w:left w:w="10" w:type="dxa"/>
          <w:right w:w="10" w:type="dxa"/>
        </w:tblCellMar>
        <w:tblLook w:val="04A0" w:firstRow="1" w:lastRow="0" w:firstColumn="1" w:lastColumn="0" w:noHBand="0" w:noVBand="1"/>
      </w:tblPr>
      <w:tblGrid>
        <w:gridCol w:w="9015"/>
      </w:tblGrid>
      <w:tr w:rsidR="004B2B88" w14:paraId="150B4A79"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9980F" w14:textId="77777777" w:rsidR="004B2B88" w:rsidRDefault="004B2B88">
            <w:pPr>
              <w:spacing w:after="0" w:line="240" w:lineRule="auto"/>
            </w:pPr>
          </w:p>
        </w:tc>
      </w:tr>
    </w:tbl>
    <w:p w14:paraId="6D34C152" w14:textId="77777777" w:rsidR="004B2B88" w:rsidRDefault="00621A63">
      <w:pPr>
        <w:pStyle w:val="Heading3"/>
      </w:pPr>
      <w:bookmarkStart w:id="8" w:name="_1w71hx80l2aw"/>
      <w:bookmarkEnd w:id="8"/>
      <w:r>
        <w:t>Question 2</w:t>
      </w:r>
    </w:p>
    <w:p w14:paraId="1BE95DED" w14:textId="77777777" w:rsidR="004B2B88" w:rsidRDefault="00621A63">
      <w:pPr>
        <w:rPr>
          <w:b/>
          <w:bCs/>
        </w:rPr>
      </w:pPr>
      <w:r>
        <w:rPr>
          <w:b/>
          <w:bCs/>
        </w:rPr>
        <w:t>Is the guidance on union equality representatives' right to time off sufficiently clear?</w:t>
      </w:r>
    </w:p>
    <w:p w14:paraId="62C51F98" w14:textId="77777777" w:rsidR="004B2B88" w:rsidRDefault="00621A63">
      <w:pPr>
        <w:numPr>
          <w:ilvl w:val="0"/>
          <w:numId w:val="7"/>
        </w:numPr>
        <w:spacing w:after="0"/>
      </w:pPr>
      <w:r>
        <w:t>Yes</w:t>
      </w:r>
    </w:p>
    <w:p w14:paraId="3F59E389" w14:textId="77777777" w:rsidR="004B2B88" w:rsidRDefault="00621A63">
      <w:pPr>
        <w:numPr>
          <w:ilvl w:val="0"/>
          <w:numId w:val="7"/>
        </w:numPr>
        <w:spacing w:before="0" w:after="0"/>
      </w:pPr>
      <w:r>
        <w:t>No</w:t>
      </w:r>
    </w:p>
    <w:p w14:paraId="767AC606" w14:textId="77777777" w:rsidR="004B2B88" w:rsidRDefault="00621A63">
      <w:pPr>
        <w:numPr>
          <w:ilvl w:val="0"/>
          <w:numId w:val="7"/>
        </w:numPr>
        <w:spacing w:before="0"/>
      </w:pPr>
      <w:r>
        <w:t>Don't know</w:t>
      </w:r>
    </w:p>
    <w:p w14:paraId="5F0BCA6A" w14:textId="77777777" w:rsidR="004B2B88" w:rsidRDefault="00621A63">
      <w:r>
        <w:t xml:space="preserve">Please explain the reason for your answer. If </w:t>
      </w:r>
      <w:r>
        <w:t>you answered no, please also identify where the Code could be clearer.</w:t>
      </w:r>
    </w:p>
    <w:tbl>
      <w:tblPr>
        <w:tblW w:w="9015" w:type="dxa"/>
        <w:tblCellMar>
          <w:left w:w="10" w:type="dxa"/>
          <w:right w:w="10" w:type="dxa"/>
        </w:tblCellMar>
        <w:tblLook w:val="04A0" w:firstRow="1" w:lastRow="0" w:firstColumn="1" w:lastColumn="0" w:noHBand="0" w:noVBand="1"/>
      </w:tblPr>
      <w:tblGrid>
        <w:gridCol w:w="9015"/>
      </w:tblGrid>
      <w:tr w:rsidR="004B2B88" w14:paraId="4673A45C"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3679" w14:textId="77777777" w:rsidR="004B2B88" w:rsidRDefault="004B2B88">
            <w:pPr>
              <w:spacing w:after="0" w:line="240" w:lineRule="auto"/>
            </w:pPr>
          </w:p>
        </w:tc>
      </w:tr>
    </w:tbl>
    <w:p w14:paraId="5D75468B" w14:textId="77777777" w:rsidR="004B2B88" w:rsidRDefault="00621A63">
      <w:pPr>
        <w:pStyle w:val="Heading3"/>
      </w:pPr>
      <w:bookmarkStart w:id="9" w:name="_8rbcyiw637dx"/>
      <w:bookmarkEnd w:id="9"/>
      <w:r>
        <w:t>Combining guidance on union equality representatives and union learning representatives</w:t>
      </w:r>
    </w:p>
    <w:p w14:paraId="77203CA0" w14:textId="77777777" w:rsidR="004B2B88" w:rsidRDefault="00621A63">
      <w:r>
        <w:t xml:space="preserve">The new right for union equality representatives to take reasonable time off closely mirrors </w:t>
      </w:r>
      <w:r>
        <w:t>the existing right to reasonable time off for union learning representatives.</w:t>
      </w:r>
    </w:p>
    <w:p w14:paraId="2AC2C92D" w14:textId="77777777" w:rsidR="004B2B88" w:rsidRDefault="00621A63">
      <w:r>
        <w:t>Acas believes there are sufficient similarities to integrate references to union equality representatives alongside references to union learning representatives in the same secti</w:t>
      </w:r>
      <w:r>
        <w:t>on. This is particularly the case in paragraphs 41 to 50.</w:t>
      </w:r>
    </w:p>
    <w:p w14:paraId="0DAC915A" w14:textId="77777777" w:rsidR="004B2B88" w:rsidRDefault="00621A63">
      <w:r>
        <w:t>Acas recognises presenting the guidance in this way could risk confusion between the two types of representatives. However, Acas believes that:</w:t>
      </w:r>
    </w:p>
    <w:p w14:paraId="3050E08B" w14:textId="77777777" w:rsidR="004B2B88" w:rsidRDefault="00621A63">
      <w:pPr>
        <w:numPr>
          <w:ilvl w:val="0"/>
          <w:numId w:val="8"/>
        </w:numPr>
        <w:spacing w:after="0"/>
      </w:pPr>
      <w:r>
        <w:t>where there are differences between the two types of r</w:t>
      </w:r>
      <w:r>
        <w:t>epresentatives, this is made sufficiently clear</w:t>
      </w:r>
    </w:p>
    <w:p w14:paraId="29C30CD7" w14:textId="77777777" w:rsidR="004B2B88" w:rsidRDefault="00621A63">
      <w:pPr>
        <w:numPr>
          <w:ilvl w:val="0"/>
          <w:numId w:val="8"/>
        </w:numPr>
        <w:spacing w:before="0"/>
      </w:pPr>
      <w:r>
        <w:t>presenting the guidance in this way prevents significant duplication of information and overall lengthening of the draft Code</w:t>
      </w:r>
    </w:p>
    <w:p w14:paraId="3AD04D80" w14:textId="77777777" w:rsidR="004B2B88" w:rsidRDefault="00621A63">
      <w:pPr>
        <w:pStyle w:val="Heading3"/>
      </w:pPr>
      <w:bookmarkStart w:id="10" w:name="_fo59sg4e2n1s"/>
      <w:bookmarkEnd w:id="10"/>
      <w:r>
        <w:t>Question 3</w:t>
      </w:r>
    </w:p>
    <w:p w14:paraId="643A0695" w14:textId="77777777" w:rsidR="004B2B88" w:rsidRDefault="00621A63">
      <w:pPr>
        <w:rPr>
          <w:b/>
          <w:bCs/>
        </w:rPr>
      </w:pPr>
      <w:r>
        <w:rPr>
          <w:b/>
          <w:bCs/>
        </w:rPr>
        <w:t xml:space="preserve">Do you agree the guidance on union equality representatives should be </w:t>
      </w:r>
      <w:r>
        <w:rPr>
          <w:b/>
          <w:bCs/>
        </w:rPr>
        <w:t>provided in the same sections as the guidance on union learning representatives?</w:t>
      </w:r>
    </w:p>
    <w:p w14:paraId="211B6F3A" w14:textId="77777777" w:rsidR="004B2B88" w:rsidRDefault="00621A63">
      <w:r>
        <w:t>We are particularly interested in your views on paragraphs 41 to 50.</w:t>
      </w:r>
    </w:p>
    <w:p w14:paraId="3486C988" w14:textId="77777777" w:rsidR="004B2B88" w:rsidRDefault="00621A63">
      <w:pPr>
        <w:numPr>
          <w:ilvl w:val="0"/>
          <w:numId w:val="9"/>
        </w:numPr>
        <w:spacing w:after="0"/>
      </w:pPr>
      <w:r>
        <w:t>Yes</w:t>
      </w:r>
    </w:p>
    <w:p w14:paraId="31EE287F" w14:textId="77777777" w:rsidR="004B2B88" w:rsidRDefault="00621A63">
      <w:pPr>
        <w:numPr>
          <w:ilvl w:val="0"/>
          <w:numId w:val="9"/>
        </w:numPr>
        <w:spacing w:before="0" w:after="0"/>
      </w:pPr>
      <w:r>
        <w:t>No</w:t>
      </w:r>
    </w:p>
    <w:p w14:paraId="18944B8F" w14:textId="77777777" w:rsidR="004B2B88" w:rsidRDefault="00621A63">
      <w:pPr>
        <w:numPr>
          <w:ilvl w:val="0"/>
          <w:numId w:val="9"/>
        </w:numPr>
        <w:spacing w:before="0"/>
      </w:pPr>
      <w:r>
        <w:t>Don't know</w:t>
      </w:r>
    </w:p>
    <w:p w14:paraId="0C236200" w14:textId="77777777" w:rsidR="004B2B88" w:rsidRDefault="00621A63">
      <w:r>
        <w:t>Please explain the reason for your answer. If you answered no, please also explain ho</w:t>
      </w:r>
      <w:r>
        <w:t>w it should be introduced.</w:t>
      </w:r>
    </w:p>
    <w:tbl>
      <w:tblPr>
        <w:tblW w:w="9015" w:type="dxa"/>
        <w:tblCellMar>
          <w:left w:w="10" w:type="dxa"/>
          <w:right w:w="10" w:type="dxa"/>
        </w:tblCellMar>
        <w:tblLook w:val="04A0" w:firstRow="1" w:lastRow="0" w:firstColumn="1" w:lastColumn="0" w:noHBand="0" w:noVBand="1"/>
      </w:tblPr>
      <w:tblGrid>
        <w:gridCol w:w="9015"/>
      </w:tblGrid>
      <w:tr w:rsidR="004B2B88" w14:paraId="19E56B2A"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3648E" w14:textId="77777777" w:rsidR="004B2B88" w:rsidRDefault="004B2B88">
            <w:pPr>
              <w:spacing w:after="0" w:line="240" w:lineRule="auto"/>
            </w:pPr>
          </w:p>
        </w:tc>
      </w:tr>
    </w:tbl>
    <w:p w14:paraId="114CD9FE" w14:textId="77777777" w:rsidR="004B2B88" w:rsidRDefault="00621A63">
      <w:pPr>
        <w:pStyle w:val="Heading3"/>
      </w:pPr>
      <w:bookmarkStart w:id="11" w:name="_dqmzgux7dxft"/>
      <w:bookmarkEnd w:id="11"/>
      <w:r>
        <w:t>Duties covered by the right to time off</w:t>
      </w:r>
    </w:p>
    <w:p w14:paraId="4C538D6F" w14:textId="77777777" w:rsidR="004B2B88" w:rsidRDefault="00621A63">
      <w:r>
        <w:t>The Employment Rights Act 2025</w:t>
      </w:r>
      <w:r>
        <w:t xml:space="preserve"> sets out the purposes for which the right to time off for a trade union equality representative will apply.</w:t>
      </w:r>
    </w:p>
    <w:p w14:paraId="3C65C2F3" w14:textId="77777777" w:rsidR="004B2B88" w:rsidRDefault="00621A63">
      <w:r>
        <w:t>At paragraph 46 in the draft Code, Acas has s</w:t>
      </w:r>
      <w:r>
        <w:t xml:space="preserve">ought to set out practical examples of those duties – it is not intended to be an exhaustive list. These examples aim to help users interpret the types of activities that could fall within the right to time off, without making the Code overly prescriptive </w:t>
      </w:r>
      <w:r>
        <w:t>or unnecessarily long.</w:t>
      </w:r>
    </w:p>
    <w:p w14:paraId="26F4C623" w14:textId="77777777" w:rsidR="004B2B88" w:rsidRDefault="00621A63">
      <w:pPr>
        <w:pStyle w:val="Heading3"/>
      </w:pPr>
      <w:bookmarkStart w:id="12" w:name="_u1uhdwt7qzmz"/>
      <w:bookmarkEnd w:id="12"/>
      <w:r>
        <w:t>Question 4</w:t>
      </w:r>
    </w:p>
    <w:p w14:paraId="1761E8BC" w14:textId="77777777" w:rsidR="004B2B88" w:rsidRDefault="00621A63">
      <w:pPr>
        <w:rPr>
          <w:b/>
          <w:bCs/>
        </w:rPr>
      </w:pPr>
      <w:r>
        <w:rPr>
          <w:b/>
          <w:bCs/>
        </w:rPr>
        <w:t>Do you agree that the examples set out in paragraph 46 of the draft Code will help users of the Code to understand the duties for which union equality representatives have the right to time off?</w:t>
      </w:r>
    </w:p>
    <w:p w14:paraId="222A3ABB" w14:textId="77777777" w:rsidR="004B2B88" w:rsidRDefault="00621A63">
      <w:pPr>
        <w:numPr>
          <w:ilvl w:val="0"/>
          <w:numId w:val="10"/>
        </w:numPr>
        <w:spacing w:after="0"/>
      </w:pPr>
      <w:r>
        <w:t>Yes</w:t>
      </w:r>
    </w:p>
    <w:p w14:paraId="491BE7E2" w14:textId="77777777" w:rsidR="004B2B88" w:rsidRDefault="00621A63">
      <w:pPr>
        <w:numPr>
          <w:ilvl w:val="0"/>
          <w:numId w:val="10"/>
        </w:numPr>
        <w:spacing w:before="0" w:after="0"/>
      </w:pPr>
      <w:r>
        <w:t>No</w:t>
      </w:r>
    </w:p>
    <w:p w14:paraId="4E9B9BAC" w14:textId="77777777" w:rsidR="004B2B88" w:rsidRDefault="00621A63">
      <w:pPr>
        <w:numPr>
          <w:ilvl w:val="0"/>
          <w:numId w:val="10"/>
        </w:numPr>
        <w:spacing w:before="0"/>
      </w:pPr>
      <w:r>
        <w:t>Don't know</w:t>
      </w:r>
    </w:p>
    <w:p w14:paraId="42AFF5C4" w14:textId="77777777" w:rsidR="004B2B88" w:rsidRDefault="00621A63">
      <w:r>
        <w:t xml:space="preserve">Please </w:t>
      </w:r>
      <w:r>
        <w:t>explain the reason for your answer. If you answered no, please also explain why. For example, should something be elaborated on further?</w:t>
      </w:r>
    </w:p>
    <w:tbl>
      <w:tblPr>
        <w:tblW w:w="9015" w:type="dxa"/>
        <w:tblCellMar>
          <w:left w:w="10" w:type="dxa"/>
          <w:right w:w="10" w:type="dxa"/>
        </w:tblCellMar>
        <w:tblLook w:val="04A0" w:firstRow="1" w:lastRow="0" w:firstColumn="1" w:lastColumn="0" w:noHBand="0" w:noVBand="1"/>
      </w:tblPr>
      <w:tblGrid>
        <w:gridCol w:w="9015"/>
      </w:tblGrid>
      <w:tr w:rsidR="004B2B88" w14:paraId="4F3C4EA3"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49B3" w14:textId="77777777" w:rsidR="004B2B88" w:rsidRDefault="004B2B88">
            <w:pPr>
              <w:spacing w:after="0" w:line="240" w:lineRule="auto"/>
            </w:pPr>
          </w:p>
        </w:tc>
      </w:tr>
    </w:tbl>
    <w:p w14:paraId="57A1B1BC" w14:textId="77777777" w:rsidR="004B2B88" w:rsidRDefault="00621A63">
      <w:pPr>
        <w:pStyle w:val="Heading3"/>
      </w:pPr>
      <w:bookmarkStart w:id="13" w:name="_w8dh29kbsmda"/>
      <w:bookmarkEnd w:id="13"/>
      <w:r>
        <w:t>Question 5</w:t>
      </w:r>
    </w:p>
    <w:p w14:paraId="712C5010" w14:textId="77777777" w:rsidR="004B2B88" w:rsidRDefault="00621A63">
      <w:pPr>
        <w:rPr>
          <w:b/>
          <w:bCs/>
        </w:rPr>
      </w:pPr>
      <w:r>
        <w:rPr>
          <w:b/>
          <w:bCs/>
        </w:rPr>
        <w:t>Does paragraph 46 of the draft Code provide a sufficiently broad set of examples of the main types of acti</w:t>
      </w:r>
      <w:r>
        <w:rPr>
          <w:b/>
          <w:bCs/>
        </w:rPr>
        <w:t>vities to which the right to time off could apply?</w:t>
      </w:r>
    </w:p>
    <w:p w14:paraId="4C085CB0" w14:textId="77777777" w:rsidR="004B2B88" w:rsidRDefault="00621A63">
      <w:pPr>
        <w:numPr>
          <w:ilvl w:val="0"/>
          <w:numId w:val="11"/>
        </w:numPr>
        <w:spacing w:after="0"/>
      </w:pPr>
      <w:r>
        <w:t>Yes</w:t>
      </w:r>
    </w:p>
    <w:p w14:paraId="77D8B4E9" w14:textId="77777777" w:rsidR="004B2B88" w:rsidRDefault="00621A63">
      <w:pPr>
        <w:numPr>
          <w:ilvl w:val="0"/>
          <w:numId w:val="11"/>
        </w:numPr>
        <w:spacing w:before="0" w:after="0"/>
      </w:pPr>
      <w:r>
        <w:lastRenderedPageBreak/>
        <w:t>No</w:t>
      </w:r>
    </w:p>
    <w:p w14:paraId="4FA13AD7" w14:textId="77777777" w:rsidR="004B2B88" w:rsidRDefault="00621A63">
      <w:pPr>
        <w:numPr>
          <w:ilvl w:val="0"/>
          <w:numId w:val="11"/>
        </w:numPr>
        <w:spacing w:before="0"/>
      </w:pPr>
      <w:r>
        <w:t>Don't know</w:t>
      </w:r>
    </w:p>
    <w:p w14:paraId="775B2F08" w14:textId="77777777" w:rsidR="004B2B88" w:rsidRDefault="00621A63">
      <w:r>
        <w:t>Please explain the reason for your answer. If you answered no, please also set out additional examples of activities that should be covered.</w:t>
      </w:r>
    </w:p>
    <w:tbl>
      <w:tblPr>
        <w:tblW w:w="9015" w:type="dxa"/>
        <w:tblCellMar>
          <w:left w:w="10" w:type="dxa"/>
          <w:right w:w="10" w:type="dxa"/>
        </w:tblCellMar>
        <w:tblLook w:val="04A0" w:firstRow="1" w:lastRow="0" w:firstColumn="1" w:lastColumn="0" w:noHBand="0" w:noVBand="1"/>
      </w:tblPr>
      <w:tblGrid>
        <w:gridCol w:w="9015"/>
      </w:tblGrid>
      <w:tr w:rsidR="004B2B88" w14:paraId="2230A7B4"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83973" w14:textId="77777777" w:rsidR="004B2B88" w:rsidRDefault="004B2B88">
            <w:pPr>
              <w:spacing w:after="0" w:line="240" w:lineRule="auto"/>
            </w:pPr>
          </w:p>
        </w:tc>
      </w:tr>
    </w:tbl>
    <w:p w14:paraId="3F9E5D57" w14:textId="77777777" w:rsidR="004B2B88" w:rsidRDefault="00621A63">
      <w:pPr>
        <w:pStyle w:val="Heading3"/>
      </w:pPr>
      <w:bookmarkStart w:id="14" w:name="_5wiigwsrssu6"/>
      <w:bookmarkEnd w:id="14"/>
      <w:r>
        <w:t>Training for union equality representatives</w:t>
      </w:r>
    </w:p>
    <w:p w14:paraId="396F9644" w14:textId="77777777" w:rsidR="004B2B88" w:rsidRDefault="00621A63">
      <w:pPr>
        <w:spacing w:after="0"/>
      </w:pPr>
      <w:r>
        <w:t>The Employment Rights Act 2025</w:t>
      </w:r>
      <w:r>
        <w:t xml:space="preserve"> sets out that the right for union equality representatives to take time off to carry out their duties applies if both:</w:t>
      </w:r>
    </w:p>
    <w:p w14:paraId="08E4895F" w14:textId="77777777" w:rsidR="004B2B88" w:rsidRDefault="00621A63">
      <w:pPr>
        <w:pStyle w:val="ListParagraph"/>
        <w:numPr>
          <w:ilvl w:val="0"/>
          <w:numId w:val="12"/>
        </w:numPr>
        <w:spacing w:after="0"/>
      </w:pPr>
      <w:r>
        <w:t>the</w:t>
      </w:r>
      <w:r>
        <w:t xml:space="preserve"> trade union gives notice in writing that the employee is an equality representative of the union</w:t>
      </w:r>
    </w:p>
    <w:p w14:paraId="4276ACBF" w14:textId="77777777" w:rsidR="004B2B88" w:rsidRDefault="00621A63">
      <w:pPr>
        <w:numPr>
          <w:ilvl w:val="0"/>
          <w:numId w:val="13"/>
        </w:numPr>
        <w:spacing w:before="0"/>
      </w:pPr>
      <w:r>
        <w:t>the employee has met the training condition</w:t>
      </w:r>
    </w:p>
    <w:p w14:paraId="5DCDEDCE" w14:textId="77777777" w:rsidR="004B2B88" w:rsidRDefault="00621A63">
      <w:r>
        <w:t>To satisfy this training condition, an employee will need to be able to demonstrate that they have received sufficient training to enable them to operate competently as a union equality representative.</w:t>
      </w:r>
    </w:p>
    <w:p w14:paraId="4028F08C" w14:textId="77777777" w:rsidR="004B2B88" w:rsidRDefault="00621A63">
      <w:r>
        <w:t>Paragraph</w:t>
      </w:r>
      <w:r>
        <w:t>s 44 to 48 of the draft Code are intended to set out practical guidance on how an employee could demonstrate to their union that they have received sufficient training. This guidance should also help a union to understand the evidence that might be accepta</w:t>
      </w:r>
      <w:r>
        <w:t>ble for this purpose.</w:t>
      </w:r>
    </w:p>
    <w:p w14:paraId="7DA0F63C" w14:textId="77777777" w:rsidR="004B2B88" w:rsidRDefault="00621A63">
      <w:pPr>
        <w:pStyle w:val="Heading3"/>
      </w:pPr>
      <w:bookmarkStart w:id="15" w:name="_eud5ailehcbv"/>
      <w:bookmarkEnd w:id="15"/>
      <w:r>
        <w:t>Question 6</w:t>
      </w:r>
    </w:p>
    <w:p w14:paraId="231351A9" w14:textId="77777777" w:rsidR="004B2B88" w:rsidRDefault="00621A63">
      <w:pPr>
        <w:rPr>
          <w:b/>
          <w:bCs/>
        </w:rPr>
      </w:pPr>
      <w:r>
        <w:rPr>
          <w:b/>
          <w:bCs/>
        </w:rPr>
        <w:t>What are your views on the guidance in the draft Code (paragraphs 44 to 48)?</w:t>
      </w:r>
    </w:p>
    <w:p w14:paraId="37308F98" w14:textId="77777777" w:rsidR="004B2B88" w:rsidRDefault="00621A63">
      <w:r>
        <w:t>For example, does it sufficiently explain how an employee can show they've had sufficient training to operate competently as a union equality repr</w:t>
      </w:r>
      <w:r>
        <w:t>esentative?</w:t>
      </w:r>
    </w:p>
    <w:tbl>
      <w:tblPr>
        <w:tblW w:w="9015" w:type="dxa"/>
        <w:tblCellMar>
          <w:left w:w="10" w:type="dxa"/>
          <w:right w:w="10" w:type="dxa"/>
        </w:tblCellMar>
        <w:tblLook w:val="04A0" w:firstRow="1" w:lastRow="0" w:firstColumn="1" w:lastColumn="0" w:noHBand="0" w:noVBand="1"/>
      </w:tblPr>
      <w:tblGrid>
        <w:gridCol w:w="9015"/>
      </w:tblGrid>
      <w:tr w:rsidR="004B2B88" w14:paraId="20913583"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193D5" w14:textId="77777777" w:rsidR="004B2B88" w:rsidRDefault="004B2B88">
            <w:pPr>
              <w:spacing w:after="0" w:line="240" w:lineRule="auto"/>
            </w:pPr>
          </w:p>
        </w:tc>
      </w:tr>
    </w:tbl>
    <w:p w14:paraId="7DBEA1FA" w14:textId="77777777" w:rsidR="004B2B88" w:rsidRDefault="00621A63">
      <w:pPr>
        <w:pStyle w:val="Heading2"/>
      </w:pPr>
      <w:bookmarkStart w:id="16" w:name="_wpj4kt4glgzr"/>
      <w:bookmarkEnd w:id="16"/>
      <w:r>
        <w:lastRenderedPageBreak/>
        <w:t>Section B: Guidance on accommodation and other facilities</w:t>
      </w:r>
    </w:p>
    <w:p w14:paraId="1558E74A" w14:textId="77777777" w:rsidR="004B2B88" w:rsidRDefault="00621A63">
      <w:r>
        <w:t xml:space="preserve">There is currently no general duty on employers to provide accommodation and facilities for union representatives. However, there are specific requirements in this regard for </w:t>
      </w:r>
      <w:r>
        <w:t>representatives engaged in duties related to collective redundancies and TUPE.</w:t>
      </w:r>
    </w:p>
    <w:p w14:paraId="0EADB1EA" w14:textId="77777777" w:rsidR="004B2B88" w:rsidRDefault="00621A63">
      <w:r>
        <w:t xml:space="preserve">The </w:t>
      </w:r>
      <w:hyperlink r:id="rId12" w:history="1">
        <w:r>
          <w:rPr>
            <w:color w:val="1155CC"/>
            <w:u w:val="single"/>
          </w:rPr>
          <w:t>existing Code</w:t>
        </w:r>
      </w:hyperlink>
      <w:r>
        <w:t xml:space="preserve"> includes good practice guidance on the pro</w:t>
      </w:r>
      <w:r>
        <w:t>vision of facilities for union representatives (paragraphs 46 to 47). It also includes guidance on including facilities for union representatives in formal agreements on time off between an employer and trade union (paragraphs 56 to 61).</w:t>
      </w:r>
    </w:p>
    <w:p w14:paraId="388F220B" w14:textId="77777777" w:rsidR="004B2B88" w:rsidRDefault="00621A63">
      <w:r>
        <w:t>The Employment Rig</w:t>
      </w:r>
      <w:r>
        <w:t>hts Act 2025</w:t>
      </w:r>
      <w:r>
        <w:t xml:space="preserve"> introduces a new </w:t>
      </w:r>
      <w:r>
        <w:t xml:space="preserve">right requiring the employer to 'provide the employee with such accommodation and other facilities for carrying out of duties (or undergoing relevant training) as is reasonable in all the circumstances, having regard to </w:t>
      </w:r>
      <w:r>
        <w:t>any relevant provisions of a Code of Practice issued by Acas'. The right will apply to trade union representatives including union learning representatives and union equality representatives. The right will be triggered where the employee requests accommod</w:t>
      </w:r>
      <w:r>
        <w:t>ation or facilities.</w:t>
      </w:r>
    </w:p>
    <w:p w14:paraId="6619D723" w14:textId="77777777" w:rsidR="004B2B88" w:rsidRDefault="00621A63">
      <w:r>
        <w:t xml:space="preserve">Acas has updated the draft Code to reflect this new statutory right and set out practical guidance in paragraphs 72 to 75. Acas has focused on setting out general principles in the draft Code, allowing for a clear understanding of the </w:t>
      </w:r>
      <w:r>
        <w:t xml:space="preserve">standards it sets out. </w:t>
      </w:r>
      <w:proofErr w:type="spellStart"/>
      <w:r>
        <w:t>Acas's</w:t>
      </w:r>
      <w:proofErr w:type="spellEnd"/>
      <w:r>
        <w:t xml:space="preserve"> accompanying non-statutory guidance will expand on these principles and give further detail.</w:t>
      </w:r>
    </w:p>
    <w:p w14:paraId="085F3D13" w14:textId="77777777" w:rsidR="004B2B88" w:rsidRDefault="00621A63">
      <w:pPr>
        <w:pStyle w:val="Heading3"/>
      </w:pPr>
      <w:bookmarkStart w:id="17" w:name="_76calcddmxku"/>
      <w:bookmarkEnd w:id="17"/>
      <w:r>
        <w:t>Question 7</w:t>
      </w:r>
    </w:p>
    <w:p w14:paraId="48B6AFD5" w14:textId="77777777" w:rsidR="004B2B88" w:rsidRDefault="00621A63">
      <w:pPr>
        <w:rPr>
          <w:b/>
          <w:bCs/>
        </w:rPr>
      </w:pPr>
      <w:r>
        <w:rPr>
          <w:b/>
          <w:bCs/>
        </w:rPr>
        <w:t xml:space="preserve">Does the guidance in the draft Code (paragraphs 72 to 75) provide sufficient detail on the provision of accommodation and </w:t>
      </w:r>
      <w:r>
        <w:rPr>
          <w:b/>
          <w:bCs/>
        </w:rPr>
        <w:t>other facilities?</w:t>
      </w:r>
    </w:p>
    <w:p w14:paraId="2384657B" w14:textId="77777777" w:rsidR="004B2B88" w:rsidRDefault="00621A63">
      <w:pPr>
        <w:numPr>
          <w:ilvl w:val="0"/>
          <w:numId w:val="14"/>
        </w:numPr>
        <w:spacing w:after="0"/>
      </w:pPr>
      <w:r>
        <w:t>Yes</w:t>
      </w:r>
    </w:p>
    <w:p w14:paraId="2935F720" w14:textId="77777777" w:rsidR="004B2B88" w:rsidRDefault="00621A63">
      <w:pPr>
        <w:numPr>
          <w:ilvl w:val="0"/>
          <w:numId w:val="14"/>
        </w:numPr>
        <w:spacing w:before="0" w:after="0"/>
      </w:pPr>
      <w:r>
        <w:t>No</w:t>
      </w:r>
    </w:p>
    <w:p w14:paraId="16565F7E" w14:textId="77777777" w:rsidR="004B2B88" w:rsidRDefault="00621A63">
      <w:pPr>
        <w:numPr>
          <w:ilvl w:val="0"/>
          <w:numId w:val="14"/>
        </w:numPr>
        <w:spacing w:before="0"/>
      </w:pPr>
      <w:r>
        <w:t>Don't know</w:t>
      </w:r>
    </w:p>
    <w:p w14:paraId="0A9A2896" w14:textId="77777777" w:rsidR="004B2B88" w:rsidRDefault="00621A63">
      <w:r>
        <w:t>Please explain the reason for your answer. If you answered no, please also explain why. For example, what should be changed, removed or added to this guidance?</w:t>
      </w:r>
    </w:p>
    <w:tbl>
      <w:tblPr>
        <w:tblW w:w="9015" w:type="dxa"/>
        <w:tblCellMar>
          <w:left w:w="10" w:type="dxa"/>
          <w:right w:w="10" w:type="dxa"/>
        </w:tblCellMar>
        <w:tblLook w:val="04A0" w:firstRow="1" w:lastRow="0" w:firstColumn="1" w:lastColumn="0" w:noHBand="0" w:noVBand="1"/>
      </w:tblPr>
      <w:tblGrid>
        <w:gridCol w:w="9015"/>
      </w:tblGrid>
      <w:tr w:rsidR="004B2B88" w14:paraId="2C6F034A"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3C4BA" w14:textId="77777777" w:rsidR="004B2B88" w:rsidRDefault="004B2B88">
            <w:pPr>
              <w:spacing w:after="0" w:line="240" w:lineRule="auto"/>
            </w:pPr>
          </w:p>
        </w:tc>
      </w:tr>
    </w:tbl>
    <w:p w14:paraId="39DE010E" w14:textId="77777777" w:rsidR="004B2B88" w:rsidRDefault="00621A63">
      <w:pPr>
        <w:pStyle w:val="Heading3"/>
      </w:pPr>
      <w:bookmarkStart w:id="18" w:name="_pjwy79v3zri7"/>
      <w:bookmarkEnd w:id="18"/>
      <w:r>
        <w:t>Question 8</w:t>
      </w:r>
    </w:p>
    <w:p w14:paraId="14DB4164" w14:textId="77777777" w:rsidR="004B2B88" w:rsidRDefault="00621A63">
      <w:pPr>
        <w:rPr>
          <w:b/>
          <w:bCs/>
        </w:rPr>
      </w:pPr>
      <w:r>
        <w:rPr>
          <w:b/>
          <w:bCs/>
        </w:rPr>
        <w:t>Is the guidance on the provision of accommodati</w:t>
      </w:r>
      <w:r>
        <w:rPr>
          <w:b/>
          <w:bCs/>
        </w:rPr>
        <w:t>on and other facilities in the draft Code (paragraphs 72 to 75) sufficiently clear?</w:t>
      </w:r>
    </w:p>
    <w:p w14:paraId="3A6861DC" w14:textId="77777777" w:rsidR="004B2B88" w:rsidRDefault="00621A63">
      <w:pPr>
        <w:numPr>
          <w:ilvl w:val="0"/>
          <w:numId w:val="15"/>
        </w:numPr>
        <w:spacing w:after="0"/>
      </w:pPr>
      <w:r>
        <w:t>Yes</w:t>
      </w:r>
    </w:p>
    <w:p w14:paraId="517F082B" w14:textId="77777777" w:rsidR="004B2B88" w:rsidRDefault="00621A63">
      <w:pPr>
        <w:numPr>
          <w:ilvl w:val="0"/>
          <w:numId w:val="15"/>
        </w:numPr>
        <w:spacing w:before="0" w:after="0"/>
      </w:pPr>
      <w:r>
        <w:t>No</w:t>
      </w:r>
    </w:p>
    <w:p w14:paraId="11692BE5" w14:textId="77777777" w:rsidR="004B2B88" w:rsidRDefault="00621A63">
      <w:pPr>
        <w:numPr>
          <w:ilvl w:val="0"/>
          <w:numId w:val="15"/>
        </w:numPr>
        <w:spacing w:before="0"/>
      </w:pPr>
      <w:r>
        <w:t>Don't know</w:t>
      </w:r>
    </w:p>
    <w:p w14:paraId="0AC5B49B" w14:textId="77777777" w:rsidR="004B2B88" w:rsidRDefault="00621A63">
      <w:r>
        <w:t>Please explain the reason for your answer. If you answered no, please also, where appropriate, set out additional examples that you would like to see.</w:t>
      </w:r>
    </w:p>
    <w:tbl>
      <w:tblPr>
        <w:tblW w:w="9015" w:type="dxa"/>
        <w:tblCellMar>
          <w:left w:w="10" w:type="dxa"/>
          <w:right w:w="10" w:type="dxa"/>
        </w:tblCellMar>
        <w:tblLook w:val="04A0" w:firstRow="1" w:lastRow="0" w:firstColumn="1" w:lastColumn="0" w:noHBand="0" w:noVBand="1"/>
      </w:tblPr>
      <w:tblGrid>
        <w:gridCol w:w="9015"/>
      </w:tblGrid>
      <w:tr w:rsidR="004B2B88" w14:paraId="0295C86E"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4B90" w14:textId="77777777" w:rsidR="004B2B88" w:rsidRDefault="004B2B88">
            <w:pPr>
              <w:spacing w:after="0" w:line="240" w:lineRule="auto"/>
            </w:pPr>
          </w:p>
        </w:tc>
      </w:tr>
    </w:tbl>
    <w:p w14:paraId="4736D3C4" w14:textId="77777777" w:rsidR="004B2B88" w:rsidRDefault="00621A63">
      <w:pPr>
        <w:pStyle w:val="Heading2"/>
      </w:pPr>
      <w:bookmarkStart w:id="19" w:name="_op5148dlppp7"/>
      <w:bookmarkEnd w:id="19"/>
      <w:r>
        <w:t>Section C: Guidance for smaller organisations</w:t>
      </w:r>
    </w:p>
    <w:p w14:paraId="1D66DBB3" w14:textId="77777777" w:rsidR="004B2B88" w:rsidRDefault="00621A63">
      <w:r>
        <w:t>Acas is keen to ensure that the guidance contained in the draft Code provides appropriate practical recommendations for employers and trade unions in smaller organisations. As such, Acas is seeking views on the</w:t>
      </w:r>
      <w:r>
        <w:t xml:space="preserve"> guidance in paragraph 82 of the draft Code. This has been adapted from the wording in paragraph 61 of the current Code.</w:t>
      </w:r>
    </w:p>
    <w:p w14:paraId="0E07362D" w14:textId="77777777" w:rsidR="004B2B88" w:rsidRDefault="00621A63">
      <w:r>
        <w:t>Acas recognises that agreements between employers and trade unions in smaller organisations may benefit from:</w:t>
      </w:r>
    </w:p>
    <w:p w14:paraId="45B60F26" w14:textId="77777777" w:rsidR="004B2B88" w:rsidRDefault="00621A63">
      <w:pPr>
        <w:numPr>
          <w:ilvl w:val="0"/>
          <w:numId w:val="16"/>
        </w:numPr>
        <w:spacing w:after="0"/>
      </w:pPr>
      <w:r>
        <w:t>reaching a mutual underst</w:t>
      </w:r>
      <w:r>
        <w:t>anding on how to make requests for time off, accommodation and other facilities, and the relevant factors to consider when requests are made</w:t>
      </w:r>
    </w:p>
    <w:p w14:paraId="7470047C" w14:textId="77777777" w:rsidR="004B2B88" w:rsidRDefault="00621A63">
      <w:pPr>
        <w:numPr>
          <w:ilvl w:val="0"/>
          <w:numId w:val="16"/>
        </w:numPr>
        <w:spacing w:before="0"/>
      </w:pPr>
      <w:r>
        <w:lastRenderedPageBreak/>
        <w:t>agreeing more flexible arrangements that can be adapted to their specific circumstances</w:t>
      </w:r>
    </w:p>
    <w:p w14:paraId="08690788" w14:textId="77777777" w:rsidR="004B2B88" w:rsidRDefault="00621A63">
      <w:r>
        <w:t>This approach is intended t</w:t>
      </w:r>
      <w:r>
        <w:t>o provide for flexibility and proportionality in organisations where a less flexible agreement setting out a mandatory set procedure may not be practical. Acas would like to understand:</w:t>
      </w:r>
    </w:p>
    <w:p w14:paraId="405290E6" w14:textId="77777777" w:rsidR="004B2B88" w:rsidRDefault="00621A63">
      <w:pPr>
        <w:numPr>
          <w:ilvl w:val="0"/>
          <w:numId w:val="17"/>
        </w:numPr>
        <w:spacing w:after="0"/>
      </w:pPr>
      <w:r>
        <w:t>whether the Code remains appropriate and effective for smaller organis</w:t>
      </w:r>
      <w:r>
        <w:t>ations</w:t>
      </w:r>
    </w:p>
    <w:p w14:paraId="3A8D8CA4" w14:textId="77777777" w:rsidR="004B2B88" w:rsidRDefault="00621A63">
      <w:pPr>
        <w:numPr>
          <w:ilvl w:val="0"/>
          <w:numId w:val="17"/>
        </w:numPr>
        <w:spacing w:before="0"/>
      </w:pPr>
      <w:r>
        <w:t>whether providing any additional detail would help smaller employers apply the principles in the Code</w:t>
      </w:r>
    </w:p>
    <w:p w14:paraId="6359352F" w14:textId="77777777" w:rsidR="004B2B88" w:rsidRDefault="00621A63">
      <w:pPr>
        <w:pStyle w:val="Heading3"/>
      </w:pPr>
      <w:bookmarkStart w:id="20" w:name="_e4cabujnhyzu"/>
      <w:bookmarkEnd w:id="20"/>
      <w:r>
        <w:t>Question 9</w:t>
      </w:r>
    </w:p>
    <w:p w14:paraId="705A4275" w14:textId="77777777" w:rsidR="004B2B88" w:rsidRDefault="00621A63">
      <w:pPr>
        <w:rPr>
          <w:b/>
          <w:bCs/>
        </w:rPr>
      </w:pPr>
      <w:r>
        <w:rPr>
          <w:b/>
          <w:bCs/>
        </w:rPr>
        <w:t>Does paragraph 82 provide appropriate practical guidance for smaller employers?</w:t>
      </w:r>
    </w:p>
    <w:p w14:paraId="51B48268" w14:textId="77777777" w:rsidR="004B2B88" w:rsidRDefault="00621A63">
      <w:pPr>
        <w:numPr>
          <w:ilvl w:val="0"/>
          <w:numId w:val="18"/>
        </w:numPr>
        <w:spacing w:after="0"/>
      </w:pPr>
      <w:r>
        <w:t>Yes</w:t>
      </w:r>
    </w:p>
    <w:p w14:paraId="14FBAC05" w14:textId="77777777" w:rsidR="004B2B88" w:rsidRDefault="00621A63">
      <w:pPr>
        <w:numPr>
          <w:ilvl w:val="0"/>
          <w:numId w:val="18"/>
        </w:numPr>
        <w:spacing w:before="0" w:after="0"/>
      </w:pPr>
      <w:r>
        <w:t>No</w:t>
      </w:r>
    </w:p>
    <w:p w14:paraId="1603064C" w14:textId="77777777" w:rsidR="004B2B88" w:rsidRDefault="00621A63">
      <w:pPr>
        <w:numPr>
          <w:ilvl w:val="0"/>
          <w:numId w:val="18"/>
        </w:numPr>
        <w:spacing w:before="0"/>
      </w:pPr>
      <w:r>
        <w:t>Don't know</w:t>
      </w:r>
    </w:p>
    <w:p w14:paraId="0D155A38" w14:textId="77777777" w:rsidR="004B2B88" w:rsidRDefault="00621A63">
      <w:r>
        <w:t>Please explain the reason for your ans</w:t>
      </w:r>
      <w:r>
        <w:t>wer. If you answered no, please also identify what further detail could be provided and where in the Code it could be added.</w:t>
      </w:r>
    </w:p>
    <w:tbl>
      <w:tblPr>
        <w:tblW w:w="9015" w:type="dxa"/>
        <w:tblCellMar>
          <w:left w:w="10" w:type="dxa"/>
          <w:right w:w="10" w:type="dxa"/>
        </w:tblCellMar>
        <w:tblLook w:val="04A0" w:firstRow="1" w:lastRow="0" w:firstColumn="1" w:lastColumn="0" w:noHBand="0" w:noVBand="1"/>
      </w:tblPr>
      <w:tblGrid>
        <w:gridCol w:w="9015"/>
      </w:tblGrid>
      <w:tr w:rsidR="004B2B88" w14:paraId="4283AE50"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2CA33" w14:textId="77777777" w:rsidR="004B2B88" w:rsidRDefault="004B2B88">
            <w:pPr>
              <w:spacing w:after="0" w:line="240" w:lineRule="auto"/>
            </w:pPr>
          </w:p>
        </w:tc>
      </w:tr>
    </w:tbl>
    <w:p w14:paraId="50C31E36" w14:textId="77777777" w:rsidR="004B2B88" w:rsidRDefault="00621A63">
      <w:pPr>
        <w:pStyle w:val="Heading2"/>
      </w:pPr>
      <w:bookmarkStart w:id="21" w:name="_17o9em3pjqx7"/>
      <w:bookmarkEnd w:id="21"/>
      <w:r>
        <w:t>Section D: Restructure of the existing Code</w:t>
      </w:r>
    </w:p>
    <w:p w14:paraId="686ACDB7" w14:textId="77777777" w:rsidR="004B2B88" w:rsidRDefault="00621A63">
      <w:r>
        <w:t xml:space="preserve">While </w:t>
      </w:r>
      <w:proofErr w:type="spellStart"/>
      <w:r>
        <w:t>Acas's</w:t>
      </w:r>
      <w:proofErr w:type="spellEnd"/>
      <w:r>
        <w:t xml:space="preserve"> existing Code requires updating due to changes in the law, we also see this as a welcome opportunity to carry out a full review of the Code's layout, structure, phrasing and formatting. Website accessibility and usability standards have moved on since the</w:t>
      </w:r>
      <w:r>
        <w:t xml:space="preserve"> Code was last updated in 2010.</w:t>
      </w:r>
    </w:p>
    <w:p w14:paraId="6462C5FC" w14:textId="77777777" w:rsidR="004B2B88" w:rsidRDefault="00621A63">
      <w:r>
        <w:lastRenderedPageBreak/>
        <w:t>With this in mind, Acas has sought to update the layout, structure, phrasing and formatting of the Code of Practice in line with the public sector accessibility regulations introduced in 2018. At the same time, we have sough</w:t>
      </w:r>
      <w:r>
        <w:t>t to ensure that:</w:t>
      </w:r>
    </w:p>
    <w:p w14:paraId="3C5252F4" w14:textId="77777777" w:rsidR="004B2B88" w:rsidRDefault="00621A63">
      <w:pPr>
        <w:numPr>
          <w:ilvl w:val="0"/>
          <w:numId w:val="19"/>
        </w:numPr>
        <w:spacing w:after="0"/>
      </w:pPr>
      <w:r>
        <w:t>the draft Code allows for a clear understanding of the practical guidance that it sets out</w:t>
      </w:r>
    </w:p>
    <w:p w14:paraId="3D451E87" w14:textId="77777777" w:rsidR="004B2B88" w:rsidRDefault="00621A63">
      <w:pPr>
        <w:numPr>
          <w:ilvl w:val="0"/>
          <w:numId w:val="19"/>
        </w:numPr>
        <w:spacing w:before="0"/>
      </w:pPr>
      <w:r>
        <w:t>the meaning and interpretation of the good practice principles already contained in the existing Code are maintained in the draft Code</w:t>
      </w:r>
    </w:p>
    <w:p w14:paraId="1FB0EA40" w14:textId="77777777" w:rsidR="004B2B88" w:rsidRDefault="00621A63">
      <w:pPr>
        <w:pStyle w:val="Heading3"/>
      </w:pPr>
      <w:bookmarkStart w:id="22" w:name="_pyj05q87a2jj"/>
      <w:bookmarkEnd w:id="22"/>
      <w:r>
        <w:t>Question 10</w:t>
      </w:r>
    </w:p>
    <w:p w14:paraId="61175E7B" w14:textId="77777777" w:rsidR="004B2B88" w:rsidRDefault="00621A63">
      <w:pPr>
        <w:rPr>
          <w:b/>
          <w:bCs/>
        </w:rPr>
      </w:pPr>
      <w:r>
        <w:rPr>
          <w:b/>
          <w:bCs/>
        </w:rPr>
        <w:t>Do the changes to the layout, structure, phrasing and formatting in the draft Code make clearer your understanding of the good practice principles when compared with the existing Code?</w:t>
      </w:r>
    </w:p>
    <w:p w14:paraId="58908E97" w14:textId="77777777" w:rsidR="004B2B88" w:rsidRDefault="00621A63">
      <w:pPr>
        <w:numPr>
          <w:ilvl w:val="0"/>
          <w:numId w:val="20"/>
        </w:numPr>
        <w:spacing w:after="0"/>
      </w:pPr>
      <w:r>
        <w:t>Yes</w:t>
      </w:r>
    </w:p>
    <w:p w14:paraId="3CBB2500" w14:textId="77777777" w:rsidR="004B2B88" w:rsidRDefault="00621A63">
      <w:pPr>
        <w:numPr>
          <w:ilvl w:val="0"/>
          <w:numId w:val="20"/>
        </w:numPr>
        <w:spacing w:before="0" w:after="0"/>
      </w:pPr>
      <w:r>
        <w:t>No</w:t>
      </w:r>
    </w:p>
    <w:p w14:paraId="72874B49" w14:textId="77777777" w:rsidR="004B2B88" w:rsidRDefault="00621A63">
      <w:pPr>
        <w:numPr>
          <w:ilvl w:val="0"/>
          <w:numId w:val="20"/>
        </w:numPr>
        <w:spacing w:before="0"/>
      </w:pPr>
      <w:r>
        <w:t>Don't know</w:t>
      </w:r>
    </w:p>
    <w:p w14:paraId="4B602B00" w14:textId="77777777" w:rsidR="004B2B88" w:rsidRDefault="00621A63">
      <w:r>
        <w:t>Please explain the reason for your answer.</w:t>
      </w:r>
    </w:p>
    <w:tbl>
      <w:tblPr>
        <w:tblW w:w="9015" w:type="dxa"/>
        <w:tblCellMar>
          <w:left w:w="10" w:type="dxa"/>
          <w:right w:w="10" w:type="dxa"/>
        </w:tblCellMar>
        <w:tblLook w:val="04A0" w:firstRow="1" w:lastRow="0" w:firstColumn="1" w:lastColumn="0" w:noHBand="0" w:noVBand="1"/>
      </w:tblPr>
      <w:tblGrid>
        <w:gridCol w:w="9015"/>
      </w:tblGrid>
      <w:tr w:rsidR="004B2B88" w14:paraId="1C488B05"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E8607" w14:textId="77777777" w:rsidR="004B2B88" w:rsidRDefault="004B2B88">
            <w:pPr>
              <w:spacing w:after="0" w:line="240" w:lineRule="auto"/>
            </w:pPr>
          </w:p>
        </w:tc>
      </w:tr>
    </w:tbl>
    <w:p w14:paraId="2609F571" w14:textId="77777777" w:rsidR="004B2B88" w:rsidRDefault="00621A63">
      <w:pPr>
        <w:pStyle w:val="Heading3"/>
      </w:pPr>
      <w:bookmarkStart w:id="23" w:name="_2kpnq2ex02ou"/>
      <w:bookmarkEnd w:id="23"/>
      <w:r>
        <w:t>Question</w:t>
      </w:r>
      <w:r>
        <w:t xml:space="preserve"> 11</w:t>
      </w:r>
    </w:p>
    <w:p w14:paraId="6719B37C" w14:textId="77777777" w:rsidR="004B2B88" w:rsidRDefault="00621A63">
      <w:pPr>
        <w:rPr>
          <w:b/>
          <w:bCs/>
        </w:rPr>
      </w:pPr>
      <w:r>
        <w:rPr>
          <w:b/>
          <w:bCs/>
        </w:rPr>
        <w:t>Do the changes to the layout, structure, phrasing and formatting in the draft Code change your interpretation of any of the good practice principles contained in the existing Code?</w:t>
      </w:r>
    </w:p>
    <w:p w14:paraId="6007882B" w14:textId="77777777" w:rsidR="004B2B88" w:rsidRDefault="00621A63">
      <w:pPr>
        <w:numPr>
          <w:ilvl w:val="0"/>
          <w:numId w:val="21"/>
        </w:numPr>
        <w:spacing w:after="0"/>
      </w:pPr>
      <w:r>
        <w:t>Yes</w:t>
      </w:r>
    </w:p>
    <w:p w14:paraId="1BFFB795" w14:textId="77777777" w:rsidR="004B2B88" w:rsidRDefault="00621A63">
      <w:pPr>
        <w:numPr>
          <w:ilvl w:val="0"/>
          <w:numId w:val="21"/>
        </w:numPr>
        <w:spacing w:before="0" w:after="0"/>
      </w:pPr>
      <w:r>
        <w:t>No</w:t>
      </w:r>
    </w:p>
    <w:p w14:paraId="3C32A06D" w14:textId="77777777" w:rsidR="004B2B88" w:rsidRDefault="00621A63">
      <w:pPr>
        <w:numPr>
          <w:ilvl w:val="0"/>
          <w:numId w:val="21"/>
        </w:numPr>
        <w:spacing w:before="0"/>
      </w:pPr>
      <w:r>
        <w:t>Don't know</w:t>
      </w:r>
    </w:p>
    <w:p w14:paraId="7D415281" w14:textId="77777777" w:rsidR="004B2B88" w:rsidRDefault="00621A63">
      <w:r>
        <w:t xml:space="preserve">Please explain the reason for your answer. If you </w:t>
      </w:r>
      <w:r>
        <w:t>answered yes, please also identify where in the draft Code the meaning of a good practice principle has changed and how your interpretation has changed.</w:t>
      </w:r>
    </w:p>
    <w:tbl>
      <w:tblPr>
        <w:tblW w:w="9015" w:type="dxa"/>
        <w:tblCellMar>
          <w:left w:w="10" w:type="dxa"/>
          <w:right w:w="10" w:type="dxa"/>
        </w:tblCellMar>
        <w:tblLook w:val="04A0" w:firstRow="1" w:lastRow="0" w:firstColumn="1" w:lastColumn="0" w:noHBand="0" w:noVBand="1"/>
      </w:tblPr>
      <w:tblGrid>
        <w:gridCol w:w="9015"/>
      </w:tblGrid>
      <w:tr w:rsidR="004B2B88" w14:paraId="03989168" w14:textId="77777777">
        <w:trPr>
          <w:trHeight w:val="1701"/>
        </w:trPr>
        <w:tc>
          <w:tcPr>
            <w:tcW w:w="9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7280E" w14:textId="77777777" w:rsidR="004B2B88" w:rsidRDefault="004B2B88">
            <w:pPr>
              <w:spacing w:after="0" w:line="240" w:lineRule="auto"/>
            </w:pPr>
          </w:p>
        </w:tc>
      </w:tr>
    </w:tbl>
    <w:p w14:paraId="0F0F00FA" w14:textId="77777777" w:rsidR="004B2B88" w:rsidRDefault="004B2B88"/>
    <w:sectPr w:rsidR="004B2B88">
      <w:pgSz w:w="11909" w:h="16834"/>
      <w:pgMar w:top="1440" w:right="1440" w:bottom="1084"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52127" w15:done="0"/>
  <w15:commentEx w15:paraId="52F5C70F" w15:done="0"/>
  <w15:commentEx w15:paraId="3DB83659" w15:done="0"/>
  <w15:commentEx w15:paraId="15400AC8" w15:done="0"/>
  <w15:commentEx w15:paraId="3D11B106" w15:done="0"/>
  <w15:commentEx w15:paraId="6AC0FAE2" w15:done="0"/>
  <w15:commentEx w15:paraId="171993A2" w15:done="0"/>
  <w15:commentEx w15:paraId="4B415B7C" w15:done="0"/>
  <w15:commentEx w15:paraId="255F6F47" w15:done="0"/>
  <w15:commentEx w15:paraId="593CB85B" w15:done="0"/>
  <w15:commentEx w15:paraId="0979526E" w15:done="0"/>
  <w15:commentEx w15:paraId="0E5BF1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52127" w16cid:durableId="2B5D587E"/>
  <w16cid:commentId w16cid:paraId="52F5C70F" w16cid:durableId="714B04BA"/>
  <w16cid:commentId w16cid:paraId="3DB83659" w16cid:durableId="2B5D5880"/>
  <w16cid:commentId w16cid:paraId="15400AC8" w16cid:durableId="2B5D5882"/>
  <w16cid:commentId w16cid:paraId="3D11B106" w16cid:durableId="2B5D5884"/>
  <w16cid:commentId w16cid:paraId="6AC0FAE2" w16cid:durableId="44611B41"/>
  <w16cid:commentId w16cid:paraId="171993A2" w16cid:durableId="73A7B705"/>
  <w16cid:commentId w16cid:paraId="4B415B7C" w16cid:durableId="6DB53E38"/>
  <w16cid:commentId w16cid:paraId="255F6F47" w16cid:durableId="34D28DD7"/>
  <w16cid:commentId w16cid:paraId="593CB85B" w16cid:durableId="526C3802"/>
  <w16cid:commentId w16cid:paraId="0979526E" w16cid:durableId="1AD9EAED"/>
  <w16cid:commentId w16cid:paraId="0E5BF17F" w16cid:durableId="7C4495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F0BE4" w14:textId="77777777" w:rsidR="00621A63" w:rsidRDefault="00621A63">
      <w:pPr>
        <w:spacing w:before="0" w:after="0" w:line="240" w:lineRule="auto"/>
      </w:pPr>
      <w:r>
        <w:separator/>
      </w:r>
    </w:p>
  </w:endnote>
  <w:endnote w:type="continuationSeparator" w:id="0">
    <w:p w14:paraId="5FBAB116" w14:textId="77777777" w:rsidR="00621A63" w:rsidRDefault="00621A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04B13" w14:textId="77777777" w:rsidR="00621A63" w:rsidRDefault="00621A63">
      <w:pPr>
        <w:spacing w:before="0" w:after="0" w:line="240" w:lineRule="auto"/>
      </w:pPr>
      <w:r>
        <w:rPr>
          <w:color w:val="000000"/>
        </w:rPr>
        <w:separator/>
      </w:r>
    </w:p>
  </w:footnote>
  <w:footnote w:type="continuationSeparator" w:id="0">
    <w:p w14:paraId="084A7A4D" w14:textId="77777777" w:rsidR="00621A63" w:rsidRDefault="00621A6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184"/>
    <w:multiLevelType w:val="multilevel"/>
    <w:tmpl w:val="EDBA99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nsid w:val="04987A8B"/>
    <w:multiLevelType w:val="multilevel"/>
    <w:tmpl w:val="DB5CE7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nsid w:val="082B7E7F"/>
    <w:multiLevelType w:val="multilevel"/>
    <w:tmpl w:val="30EE92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nsid w:val="08752B29"/>
    <w:multiLevelType w:val="multilevel"/>
    <w:tmpl w:val="FEF6F2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nsid w:val="0D291D95"/>
    <w:multiLevelType w:val="multilevel"/>
    <w:tmpl w:val="4B60F1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nsid w:val="19992880"/>
    <w:multiLevelType w:val="multilevel"/>
    <w:tmpl w:val="01B857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nsid w:val="1C4E21B7"/>
    <w:multiLevelType w:val="multilevel"/>
    <w:tmpl w:val="3C0016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nsid w:val="1CE40009"/>
    <w:multiLevelType w:val="multilevel"/>
    <w:tmpl w:val="FC1A01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13B129D"/>
    <w:multiLevelType w:val="multilevel"/>
    <w:tmpl w:val="74963B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nsid w:val="27274BF5"/>
    <w:multiLevelType w:val="multilevel"/>
    <w:tmpl w:val="7A00EE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nsid w:val="3E090E9C"/>
    <w:multiLevelType w:val="multilevel"/>
    <w:tmpl w:val="49387AF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nsid w:val="3E5E584C"/>
    <w:multiLevelType w:val="multilevel"/>
    <w:tmpl w:val="6832C83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nsid w:val="40FA7C11"/>
    <w:multiLevelType w:val="multilevel"/>
    <w:tmpl w:val="F086E8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nsid w:val="50010878"/>
    <w:multiLevelType w:val="multilevel"/>
    <w:tmpl w:val="152A54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nsid w:val="50BE436C"/>
    <w:multiLevelType w:val="multilevel"/>
    <w:tmpl w:val="8B9C7D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nsid w:val="5B047FF5"/>
    <w:multiLevelType w:val="multilevel"/>
    <w:tmpl w:val="73CE03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nsid w:val="5BE9308F"/>
    <w:multiLevelType w:val="multilevel"/>
    <w:tmpl w:val="11C881F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nsid w:val="659C6421"/>
    <w:multiLevelType w:val="multilevel"/>
    <w:tmpl w:val="033088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nsid w:val="6CE30E8B"/>
    <w:multiLevelType w:val="multilevel"/>
    <w:tmpl w:val="22B28B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nsid w:val="6D64596B"/>
    <w:multiLevelType w:val="multilevel"/>
    <w:tmpl w:val="2BB8A1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nsid w:val="740111AF"/>
    <w:multiLevelType w:val="multilevel"/>
    <w:tmpl w:val="195891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6"/>
  </w:num>
  <w:num w:numId="2">
    <w:abstractNumId w:val="9"/>
  </w:num>
  <w:num w:numId="3">
    <w:abstractNumId w:val="3"/>
  </w:num>
  <w:num w:numId="4">
    <w:abstractNumId w:val="10"/>
  </w:num>
  <w:num w:numId="5">
    <w:abstractNumId w:val="20"/>
  </w:num>
  <w:num w:numId="6">
    <w:abstractNumId w:val="14"/>
  </w:num>
  <w:num w:numId="7">
    <w:abstractNumId w:val="16"/>
  </w:num>
  <w:num w:numId="8">
    <w:abstractNumId w:val="12"/>
  </w:num>
  <w:num w:numId="9">
    <w:abstractNumId w:val="11"/>
  </w:num>
  <w:num w:numId="10">
    <w:abstractNumId w:val="8"/>
  </w:num>
  <w:num w:numId="11">
    <w:abstractNumId w:val="13"/>
  </w:num>
  <w:num w:numId="12">
    <w:abstractNumId w:val="7"/>
  </w:num>
  <w:num w:numId="13">
    <w:abstractNumId w:val="18"/>
  </w:num>
  <w:num w:numId="14">
    <w:abstractNumId w:val="2"/>
  </w:num>
  <w:num w:numId="15">
    <w:abstractNumId w:val="17"/>
  </w:num>
  <w:num w:numId="16">
    <w:abstractNumId w:val="1"/>
  </w:num>
  <w:num w:numId="17">
    <w:abstractNumId w:val="5"/>
  </w:num>
  <w:num w:numId="18">
    <w:abstractNumId w:val="0"/>
  </w:num>
  <w:num w:numId="19">
    <w:abstractNumId w:val="4"/>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4B2B88"/>
    <w:rsid w:val="002E131F"/>
    <w:rsid w:val="004B2B88"/>
    <w:rsid w:val="00621A63"/>
    <w:rsid w:val="007E754C"/>
    <w:rsid w:val="008A783F"/>
    <w:rsid w:val="009658D3"/>
    <w:rsid w:val="00F0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 w:val="24"/>
        <w:szCs w:val="24"/>
        <w:lang w:val="en-GB" w:eastAsia="ja-JP" w:bidi="ar-SA"/>
      </w:rPr>
    </w:rPrDefault>
    <w:pPrDefault>
      <w:pPr>
        <w:autoSpaceDN w:val="0"/>
        <w:spacing w:before="240" w:after="24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760" w:after="120"/>
      <w:outlineLvl w:val="0"/>
    </w:pPr>
    <w:rPr>
      <w:b/>
      <w:bCs/>
      <w:color w:val="00838D"/>
      <w:sz w:val="58"/>
      <w:szCs w:val="58"/>
    </w:rPr>
  </w:style>
  <w:style w:type="paragraph" w:styleId="Heading2">
    <w:name w:val="heading 2"/>
    <w:basedOn w:val="Normal"/>
    <w:next w:val="Normal"/>
    <w:uiPriority w:val="9"/>
    <w:unhideWhenUsed/>
    <w:qFormat/>
    <w:pPr>
      <w:keepNext/>
      <w:keepLines/>
      <w:spacing w:before="760" w:after="380"/>
      <w:outlineLvl w:val="1"/>
    </w:pPr>
    <w:rPr>
      <w:b/>
      <w:bCs/>
      <w:color w:val="00838D"/>
      <w:sz w:val="40"/>
      <w:szCs w:val="40"/>
    </w:rPr>
  </w:style>
  <w:style w:type="paragraph" w:styleId="Heading3">
    <w:name w:val="heading 3"/>
    <w:basedOn w:val="Normal"/>
    <w:next w:val="Normal"/>
    <w:uiPriority w:val="9"/>
    <w:unhideWhenUsed/>
    <w:qFormat/>
    <w:pPr>
      <w:keepNext/>
      <w:keepLines/>
      <w:spacing w:before="320"/>
      <w:outlineLvl w:val="2"/>
    </w:pPr>
    <w:rPr>
      <w:b/>
      <w:bCs/>
      <w:color w:val="00838D"/>
      <w:sz w:val="30"/>
      <w:szCs w:val="30"/>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iCs/>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ind w:left="720"/>
    </w:pPr>
  </w:style>
  <w:style w:type="paragraph" w:styleId="Revision">
    <w:name w:val="Revision"/>
    <w:pPr>
      <w:suppressAutoHyphens/>
      <w:spacing w:before="0" w:after="0" w:line="240" w:lineRule="auto"/>
    </w:pPr>
  </w:style>
  <w:style w:type="paragraph" w:styleId="BalloonText">
    <w:name w:val="Balloon Text"/>
    <w:basedOn w:val="Normal"/>
    <w:link w:val="BalloonTextChar"/>
    <w:uiPriority w:val="99"/>
    <w:semiHidden/>
    <w:unhideWhenUsed/>
    <w:rsid w:val="008A783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 w:val="24"/>
        <w:szCs w:val="24"/>
        <w:lang w:val="en-GB" w:eastAsia="ja-JP" w:bidi="ar-SA"/>
      </w:rPr>
    </w:rPrDefault>
    <w:pPrDefault>
      <w:pPr>
        <w:autoSpaceDN w:val="0"/>
        <w:spacing w:before="240" w:after="24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760" w:after="120"/>
      <w:outlineLvl w:val="0"/>
    </w:pPr>
    <w:rPr>
      <w:b/>
      <w:bCs/>
      <w:color w:val="00838D"/>
      <w:sz w:val="58"/>
      <w:szCs w:val="58"/>
    </w:rPr>
  </w:style>
  <w:style w:type="paragraph" w:styleId="Heading2">
    <w:name w:val="heading 2"/>
    <w:basedOn w:val="Normal"/>
    <w:next w:val="Normal"/>
    <w:uiPriority w:val="9"/>
    <w:unhideWhenUsed/>
    <w:qFormat/>
    <w:pPr>
      <w:keepNext/>
      <w:keepLines/>
      <w:spacing w:before="760" w:after="380"/>
      <w:outlineLvl w:val="1"/>
    </w:pPr>
    <w:rPr>
      <w:b/>
      <w:bCs/>
      <w:color w:val="00838D"/>
      <w:sz w:val="40"/>
      <w:szCs w:val="40"/>
    </w:rPr>
  </w:style>
  <w:style w:type="paragraph" w:styleId="Heading3">
    <w:name w:val="heading 3"/>
    <w:basedOn w:val="Normal"/>
    <w:next w:val="Normal"/>
    <w:uiPriority w:val="9"/>
    <w:unhideWhenUsed/>
    <w:qFormat/>
    <w:pPr>
      <w:keepNext/>
      <w:keepLines/>
      <w:spacing w:before="320"/>
      <w:outlineLvl w:val="2"/>
    </w:pPr>
    <w:rPr>
      <w:b/>
      <w:bCs/>
      <w:color w:val="00838D"/>
      <w:sz w:val="30"/>
      <w:szCs w:val="30"/>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iCs/>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ListParagraph">
    <w:name w:val="List Paragraph"/>
    <w:basedOn w:val="Normal"/>
    <w:pPr>
      <w:ind w:left="720"/>
    </w:pPr>
  </w:style>
  <w:style w:type="paragraph" w:styleId="Revision">
    <w:name w:val="Revision"/>
    <w:pPr>
      <w:suppressAutoHyphens/>
      <w:spacing w:before="0" w:after="0" w:line="240" w:lineRule="auto"/>
    </w:pPr>
  </w:style>
  <w:style w:type="paragraph" w:styleId="BalloonText">
    <w:name w:val="Balloon Text"/>
    <w:basedOn w:val="Normal"/>
    <w:link w:val="BalloonTextChar"/>
    <w:uiPriority w:val="99"/>
    <w:semiHidden/>
    <w:unhideWhenUsed/>
    <w:rsid w:val="008A783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form/trade-union-duties-code-consultation" TargetMode="External"/><Relationship Id="rId13" Type="http://schemas.openxmlformats.org/officeDocument/2006/relationships/fontTable" Target="fontTable.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cas.org.uk/acas-code-of-practice-on-time-off-for-trade-union-duties-and-activities/html" TargetMode="External"/><Relationship Id="rId17" Type="http://schemas.openxmlformats.org/officeDocument/2006/relationships/customXml" Target="../customXml/item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cas.org.uk/about-us/acas-consultations/code-of-practice-trade-union-duties-2025/draft-code"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acas.org.uk/about-us/acas-consultations/code-of-practice-trade-union-duties-2025"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consultations@aca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09E895B6DE2438B8AE870F319B208" ma:contentTypeVersion="15" ma:contentTypeDescription="Create a new document." ma:contentTypeScope="" ma:versionID="878fa6bb8d68a8c76bcd626ddbf84da7">
  <xsd:schema xmlns:xsd="http://www.w3.org/2001/XMLSchema" xmlns:xs="http://www.w3.org/2001/XMLSchema" xmlns:p="http://schemas.microsoft.com/office/2006/metadata/properties" xmlns:ns2="c95ed930-06a3-457c-9688-8e824c66d938" xmlns:ns3="27ce9c9e-0b24-49a2-a76a-63f34f2eb833" targetNamespace="http://schemas.microsoft.com/office/2006/metadata/properties" ma:root="true" ma:fieldsID="4382bfdbc91bd439f32a5b10b0713df4" ns2:_="" ns3:_="">
    <xsd:import namespace="c95ed930-06a3-457c-9688-8e824c66d938"/>
    <xsd:import namespace="27ce9c9e-0b24-49a2-a76a-63f34f2eb8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ed930-06a3-457c-9688-8e824c66d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5ed930-06a3-457c-9688-8e824c66d938">
      <Terms xmlns="http://schemas.microsoft.com/office/infopath/2007/PartnerControls"/>
    </lcf76f155ced4ddcb4097134ff3c332f>
    <TaxCatchAll xmlns="27ce9c9e-0b24-49a2-a76a-63f34f2eb833" xsi:nil="true"/>
  </documentManagement>
</p:properties>
</file>

<file path=customXml/itemProps1.xml><?xml version="1.0" encoding="utf-8"?>
<ds:datastoreItem xmlns:ds="http://schemas.openxmlformats.org/officeDocument/2006/customXml" ds:itemID="{3C6536F9-BFCE-4EDC-9291-8C38BEDE2AE9}"/>
</file>

<file path=customXml/itemProps2.xml><?xml version="1.0" encoding="utf-8"?>
<ds:datastoreItem xmlns:ds="http://schemas.openxmlformats.org/officeDocument/2006/customXml" ds:itemID="{DF3F5847-A4D1-4D75-8E8E-BAEAC25076D9}"/>
</file>

<file path=customXml/itemProps3.xml><?xml version="1.0" encoding="utf-8"?>
<ds:datastoreItem xmlns:ds="http://schemas.openxmlformats.org/officeDocument/2006/customXml" ds:itemID="{29AA26E8-0A45-45D9-B33F-D42C43F7EE8B}"/>
</file>

<file path=docProps/app.xml><?xml version="1.0" encoding="utf-8"?>
<Properties xmlns="http://schemas.openxmlformats.org/officeDocument/2006/extended-properties" xmlns:vt="http://schemas.openxmlformats.org/officeDocument/2006/docPropsVTypes">
  <Template>Normal</Template>
  <TotalTime>2</TotalTime>
  <Pages>1</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employers and organisations – Acas consultation on draft Code of Practice on time off for trade union duties and activities 2026</dc:title>
  <dc:creator>Acas</dc:creator>
  <cp:lastModifiedBy>Admin</cp:lastModifiedBy>
  <cp:revision>5</cp:revision>
  <dcterms:created xsi:type="dcterms:W3CDTF">2026-01-19T16:44:00Z</dcterms:created>
  <dcterms:modified xsi:type="dcterms:W3CDTF">2026-01-19T16:57:00Z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0x010100B4109E895B6DE2438B8AE870F319B208</vt:lpwstr>
  </property>
  <property fmtid="{D5CDD505-2E9C-101B-9397-08002B2CF9AE}" pid="3" name="MediaServiceImageTags">
    <vt:lpwstr/>
  </property>
</Properties>
</file>